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TVG — Inkrafttreten</w:t>
      </w:r>
    </w:p>
    <w:p>
      <w:r>
        <w:rPr>
          <w:color w:val="555555"/>
          <w:sz w:val="18"/>
        </w:rPr>
        <w:t xml:space="preserve">Tarifvertragsgesetz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seiner Verkündung in Kraft.</w:t>
      </w:r>
    </w:p>
    <w:p>
      <w:r>
        <w:t xml:space="preserve">(2) Tarifverträge, die vor dem Inkrafttreten dieses Gesetzes abgeschlossen sind, unterliegen diesem Gesetz.</w:t>
      </w:r>
    </w:p>
    <w:p>
      <w:r>
        <w:t xml:space="preserve">(3) § 4a ist nicht auf Tarifverträge anzuwenden, die am 10. Juli 2015 gelten.</w:t>
      </w:r>
    </w:p>
    <w:p>
      <w:r>
        <w:rPr>
          <w:color w:val="555555"/>
          <w:sz w:val="17"/>
        </w:rPr>
        <w:t xml:space="preserve">Zitiervorschlag: § 13 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