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TVG — Durchführungsbestimmungen</w:t>
      </w:r>
    </w:p>
    <w:p>
      <w:r>
        <w:rPr>
          <w:color w:val="555555"/>
          <w:sz w:val="18"/>
        </w:rPr>
        <w:t xml:space="preserve">Tarifvertragsgesetz</w:t>
      </w:r>
    </w:p>
    <w:p>
      <w:r>
        <w:rPr>
          <w:color w:val="555555"/>
          <w:sz w:val="18"/>
        </w:rPr>
        <w:t xml:space="preserve">Stand: 10.06.2019 (konsolidierte Textfassung, kein amtliches Inkrafttretensdatum)</w:t>
      </w:r>
    </w:p>
    <w:p>
      <w:r>
        <w:t xml:space="preserve">Das Bundesministerium für Arbeit und Soziales kann unter Mitwirkung der Spitzenorganisationen der Arbeitgeber und der Arbeitnehmer die zur Durchführung des Gesetzes erforderlichen Verordnungen erlassen, insbesonders über</w:t>
      </w:r>
    </w:p>
    <w:p>
      <w:pPr>
        <w:ind w:left="420"/>
      </w:pPr>
      <w:r>
        <w:t xml:space="preserve">1. die Errichtung und die Führung des Tarifregisters und des Tarifarchivs;</w:t>
      </w:r>
    </w:p>
    <w:p>
      <w:pPr>
        <w:ind w:left="420"/>
      </w:pPr>
      <w:r>
        <w:t xml:space="preserve">2. das Verfahren bei der Allgemeinverbindlicherklärung von Tarifverträgen und der Aufhebung von Tarifordnungen und Anordnungen, die öffentlichen Bekanntmachungen bei der Antragstellung, der Erklärung und Beendigung der Allgemeinverbindlichkeit und der Aufhebung von Tarifordnungen und Anordnungen sowie die hierdurch entstehenden Kosten;</w:t>
      </w:r>
    </w:p>
    <w:p>
      <w:pPr>
        <w:ind w:left="420"/>
      </w:pPr>
      <w:r>
        <w:t xml:space="preserve">3. den in § 5 genannten Ausschuß.</w:t>
      </w:r>
    </w:p>
    <w:p>
      <w:r>
        <w:rPr>
          <w:color w:val="555555"/>
          <w:sz w:val="17"/>
        </w:rPr>
        <w:t xml:space="preserve">Zitiervorschlag: § 11 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https://recht.nulegal.eu/gesetze/TVG/11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