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TVG — Inhalt und Form des Tarifvertrags</w:t>
      </w:r>
    </w:p>
    <w:p>
      <w:r>
        <w:rPr>
          <w:color w:val="555555"/>
          <w:sz w:val="18"/>
        </w:rPr>
        <w:t xml:space="preserve">Tarifvertragsgesetz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Tarifvertrag regelt die Rechte und Pflichten der Tarifvertragsparteien und enthält Rechtsnormen, die den Inhalt, den Abschluß und die Beendigung von Arbeitsverhältnissen sowie betriebliche und betriebsverfassungsrechtliche Fragen ordnen können.</w:t>
      </w:r>
    </w:p>
    <w:p>
      <w:r>
        <w:t xml:space="preserve">(2) Tarifverträge bedürfen der Schriftform.</w:t>
      </w:r>
    </w:p>
    <w:p>
      <w:r>
        <w:rPr>
          <w:color w:val="555555"/>
          <w:sz w:val="17"/>
        </w:rPr>
        <w:t xml:space="preserve">Zitiervorschlag: § 1 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