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TVFF (Brandenburg) — Bezeichnungen</w:t>
      </w:r>
    </w:p>
    <w:p>
      <w:r>
        <w:rPr>
          <w:color w:val="555555"/>
          <w:sz w:val="18"/>
        </w:rPr>
        <w:t xml:space="preserve">Tätigkeitsverordnung Freiwillige Feuerwehr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Funktions-, Status- und andere Bezeichnungen werden in weiblicher und männlicher Form geführt. Die in dieser Verordnung verwendeten Funktions-, Status- und anderen Bezeichnungen gelten für Frauen und Männer gleichermaßen.</w:t>
      </w:r>
    </w:p>
    <w:p>
      <w:r>
        <w:rPr>
          <w:color w:val="555555"/>
          <w:sz w:val="17"/>
        </w:rPr>
        <w:t xml:space="preserve">Zitiervorschlag: § 9 TVFF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https://recht.nulegal.eu/gesetze/TVFF/9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