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TVFF (Brandenburg) — Inkrafttreten, Außerkrafttreten</w:t>
      </w:r>
    </w:p>
    <w:p>
      <w:r>
        <w:rPr>
          <w:color w:val="555555"/>
          <w:sz w:val="18"/>
        </w:rPr>
        <w:t xml:space="preserve">Tätigkeitsverordnung Freiwillige Feuerwehr</w:t>
      </w:r>
    </w:p>
    <w:p>
      <w:r>
        <w:rPr>
          <w:color w:val="555555"/>
          <w:sz w:val="18"/>
        </w:rPr>
        <w:t xml:space="preserve">Landesrecht Brandenburg</w:t>
      </w:r>
    </w:p>
    <w:p>
      <w:r>
        <w:rPr>
          <w:color w:val="555555"/>
          <w:sz w:val="18"/>
        </w:rPr>
        <w:t xml:space="preserve">Stand: 01.09.2026 (konsolidierte Textfassung, kein amtliches Inkrafttretensdatum)</w:t>
      </w:r>
    </w:p>
    <w:p>
      <w:r>
        <w:t xml:space="preserve">Diese Verordnung tritt am Tag nach der Verkündung in Kraft. Gleichzeitig tritt die Verordnung über die Laufbahn der ehren amtlichen Angehörigen der Freiwilligen Feuerwehren vom 4. Dezember 1997 (GVBl. II S. 914, 1998 S. 34) außer Kraft.</w:t>
      </w:r>
    </w:p>
    <w:p>
      <w:r>
        <w:t xml:space="preserve">Potsdam, den 4. Juli 2008</w:t>
      </w:r>
    </w:p>
    <w:p>
      <w:r>
        <w:t xml:space="preserve">Der Minister des Innern</w:t>
      </w:r>
    </w:p>
    <w:p>
      <w:r>
        <w:t xml:space="preserve">Jörg Schönbohm</w:t>
      </w:r>
    </w:p>
    <w:p>
      <w:r>
        <w:rPr>
          <w:color w:val="555555"/>
          <w:sz w:val="17"/>
        </w:rPr>
        <w:t xml:space="preserve">Zitiervorschlag: § 11 TVFF (Brandenburg)</w:t>
      </w:r>
    </w:p>
    <w:p>
      <w:r>
        <w:rPr>
          <w:color w:val="555555"/>
          <w:sz w:val="17"/>
        </w:rPr>
        <w:t xml:space="preserve">Quelle: bravors, abgerufen 02.09.2026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https://recht.nulegal.eu/gesetze/TVFF/11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