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TV233209 (Bayern)</w:t>
      </w:r>
    </w:p>
    <w:p>
      <w:r>
        <w:rPr>
          <w:color w:val="555555"/>
          <w:sz w:val="18"/>
        </w:rPr>
        <w:t xml:space="preserve">Anschlusstarifvertrag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Dieser Tarifvertrag kann mit einer Frist von einer Woche zum Monatsschluss gekündigt werden. Die in § 1 Nrn. 1 bis 9 genannten Tarifverträge treten jeweils außer Kraft, wenn das materielle Tarifrecht gegenüber einer der dort bezeichneten vertragsschließenden Parteien außer Kraft tritt. In beiden Fällen wird die Nachwirkung gemäß § 4 Abs. 5 des Tarifvertragsgesetzes ausgeschlossen.</w:t>
      </w:r>
    </w:p>
    <w:p>
      <w:r>
        <w:rPr>
          <w:color w:val="555555"/>
          <w:sz w:val="17"/>
        </w:rPr>
        <w:t xml:space="preserve">Zitiervorschlag: § 2 TV233209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https://recht.nulegal.eu/gesetze/TV233209/2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