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TV-L (Bayern) — Protokollerklärung zu Abschnitt II:</w:t>
      </w:r>
    </w:p>
    <w:p>
      <w:r>
        <w:rPr>
          <w:color w:val="555555"/>
          <w:sz w:val="18"/>
        </w:rPr>
        <w:t xml:space="preserve">Tarifvertrag für den öffentlichen Dienst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Gleitzeitregelungen sind unter Wahrung der jeweils geltenden Mitbestimmungsrechte unabhängig von den Vorgaben zu Arbeitszeitkorridor und Rahmenzeit (§ 6 Absatz 6 und 7) möglich; dies gilt nicht bei Schicht- und Wechselschichtarbeit. In den Gleitzeitregelungen kann auf Vereinbarungen nach § 10 verzichtet werden. Sie dürfen keine Regelungen nach § 6 Absatz 4 enthalten. Bei In-Kraft-Treten dieses Tarifvertrages bestehende Gleitzeitregelungen bleiben unberührt.</w:t>
      </w:r>
    </w:p>
    <w:p>
      <w:r>
        <w:rPr>
          <w:color w:val="555555"/>
          <w:sz w:val="17"/>
        </w:rPr>
        <w:t xml:space="preserve">Zitiervorschlag: Volltext TV-L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https://recht.nulegal.eu/gesetze/TV-L/volltext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