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TV-L (Bayern) — Regelmäßige Arbeitszeit</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durchschnittliche regelmäßige wöchentliche Arbeitszeit ausschließlich der Pausen</w:t>
      </w:r>
    </w:p>
    <w:p>
      <w:r>
        <w:t xml:space="preserve">a) wird für jedes Bundesland im Tarifgebiet West auf der Grundlage der festgestellten tatsächlichen durchschnittlichen wöchentlichen Arbeitszeit im Februar 2006 ohne Überstunden und Mehrarbeit (tariflich und arbeitsvertraglich vereinbarte Arbeitszeit) wegen der gekündigten Arbeitszeitbestimmungen von den Tarifvertragsparteien nach den im Anhang zu § 6 festgelegten Grundsätzen errechnet,</w:t>
      </w:r>
    </w:p>
    <w:p>
      <w:r>
        <w:t xml:space="preserve">b) beträgt im Tarifgebiet West 38,5 Stunden für die nachfolgend aufgeführten Beschäftigten:</w:t>
      </w:r>
    </w:p>
    <w:p>
      <w:r>
        <w:t xml:space="preserve">aa) Beschäftigte, die ständig Wechselschicht- oder Schichtarbeit leisten,</w:t>
      </w:r>
    </w:p>
    <w:p>
      <w:r>
        <w:t xml:space="preserve">bb) Beschäftigte an Universitätskliniken, Landeskrankenhäusern, sonstigen Krankenhäusern und psychiatrischen Einrichtungen, mit Ausnahme der Ärztinnen und Ärzte nach Buchstabe d,</w:t>
      </w:r>
    </w:p>
    <w:p>
      <w:r>
        <w:t xml:space="preserve">cc) Beschäftigte in Straßenmeistereien, Autobahnmeistereien, Kfz-Werkstätten, Theatern und Bühnen, Hafenbetrieben, Schleusen und im Küstenschutz,</w:t>
      </w:r>
    </w:p>
    <w:p>
      <w:r>
        <w:t xml:space="preserve">dd) Beschäftigte in Einrichtungen für schwerbehinderte Menschen (Schulen, Heime) und in heilpädagogischen Einrichtungen,</w:t>
      </w:r>
    </w:p>
    <w:p>
      <w:r>
        <w:t xml:space="preserve">ee) Beschäftigte, für die der TVöD gilt oder auf deren Arbeitsverhältnis vor der Einbeziehung in den TV-L der TVöD angewandt wurde,</w:t>
      </w:r>
    </w:p>
    <w:p>
      <w:r>
        <w:t xml:space="preserve">ff) Beschäftigte in Kindertagesstätten in Bremen,</w:t>
      </w:r>
    </w:p>
    <w:p>
      <w:r>
        <w:t xml:space="preserve">gg) Beschäftigte, für die durch landesbezirkliche Vereinbarung eine regelmäßige wöchentliche Arbeitszeit von 38,5 Stunden festgelegt wurde,</w:t>
      </w:r>
    </w:p>
    <w:p>
      <w:r>
        <w:t xml:space="preserve">c) beträgt im Tarifgebiet Ost 40 Stunden,</w:t>
      </w:r>
    </w:p>
    <w:p>
      <w:r>
        <w:t xml:space="preserve">d) beträgt für Ärztinnen und Ärzte im Sinne des § 41 (Sonderregelungen für Ärztinnen und Ärzte an Universitätskliniken) im Tarifgebiet West und im Tarifgebiet Ost einheitlich 42 Stunden.</w:t>
      </w:r>
    </w:p>
    <w:p>
      <w:r>
        <w:t xml:space="preserve">Bei Wechselschichtarbeit werden die gesetzlich vorgeschriebenen Pausen in die Arbeitszeit eingerechnet. Die regelmäßige Arbeitszeit kann auf fünf Tage, aus dringenden betrieblichen/dienstlichen Gründen auch auf sechs Tage verteilt werden. Die unterschiedliche Höhe der durchschnittlichen regelmäßigen wöchentlichen Arbeitszeit nach Satz 1 Buchstaben a und b bleibt ohne Auswirkung auf das Tabellenentgelt und die in Monatsbeträgen festgelegten Entgeltbestandteile.</w:t>
      </w:r>
    </w:p>
    <w:p>
      <w:r>
        <w:t xml:space="preserve">(2) Für die Berechnung des Durchschnitts der regelmäßigen wöchentlichen Arbeitszeit ist ein Zeitraum von bis zu einem Jahr zugrunde zu legen. Abweichend von Satz 1 kann bei Beschäftigten, die ständig Wechselschicht- oder Schichtarbeit zu leisten haben, sowie für die Durchführung so genannter Sabbatjahrmodelle ein längerer Zeitraum zugrunde gelegt werden.</w:t>
      </w:r>
    </w:p>
    <w:p>
      <w:r>
        <w:t xml:space="preserve">(3) Soweit es die betrieblichen/dienstlichen Verhältnisse zulassen, wird die/der Beschäftigte am 24. Dezember und am 31. Dezember unter Fortzahlung des Tabellenentgelts und der sonstigen in Monatsbeträgen festgelegten Entgeltbestandteile von der Arbeit freigestellt. Kann die Freistellung nach Satz 1 aus betrieblichen/dienstlichen Gründen nicht erfolgen, ist entsprechender Freizeitausgleich innerhalb von drei Monaten zu gewähren. Die regelmäßige Arbeitszeit vermindert sich für jeden gesetzlichen Feiertag, sowie für den 24. Dezember und 31. Dezember, sofern sie auf einen Werktag fallen, um die dienstplanmäßig ausgefallenen Stunden.</w:t>
      </w:r>
    </w:p>
    <w:p>
      <w:r>
        <w:t xml:space="preserve">Protokollerklärung zu § 6 Absatz 3 Satz 3:</w:t>
      </w:r>
    </w:p>
    <w:p>
      <w:r>
        <w:t xml:space="preserve">Die Verminderung der regelmäßigen Arbeitszeit betrifft die Beschäftigten, die wegen des Dienstplans am Feiertag frei haben und deshalb ohne diese Regelung nacharbeiten müssten.</w:t>
      </w:r>
    </w:p>
    <w:p>
      <w:r>
        <w:t xml:space="preserve">(4) Aus dringenden betrieblichen/dienstlichen Gründen kann auf der Grundlage einer Betriebs-/Dienstvereinbarung im Rahmen des § 7 Absatz 1, 2 und des § 12 Arbeitszeitgesetz von den Vorschriften des Arbeitszeitgesetzes abgewichen werden.</w:t>
      </w:r>
    </w:p>
    <w:p>
      <w:r>
        <w:t xml:space="preserve">Protokollerklärung zu § 6 Absatz 4:</w:t>
      </w:r>
    </w:p>
    <w:p>
      <w:r>
        <w:t xml:space="preserve">In vollkontinuierlichen Schichtbetrieben kann an Sonn- und Feiertagen die tägliche Arbeitszeit auf bis zu zwölf Stunden verlängert werden, wenn dadurch zusätzliche freie Schichten an Sonn- und Feiertagen erreicht werden.</w:t>
      </w:r>
    </w:p>
    <w:p>
      <w:r>
        <w:t xml:space="preserve">(5) Die Beschäftigten sind im Rahmen begründeter betrieblicher/dienstlicher Notwendigkeiten zur Leistung von Sonntags-, Feiertags-, Nacht-, Wechselschicht-, Schichtarbeit sowie – bei Teilzeitbeschäftigung aufgrund arbeitsvertraglicher Regelung oder mit ihrer Zustimmung – zu Bereitschaftsdienst, Rufbereitschaft, Überstunden und Mehrarbeit verpflichtet.</w:t>
      </w:r>
    </w:p>
    <w:p>
      <w:r>
        <w:t xml:space="preserve">(6) Durch Betriebs-/Dienstvereinbarung kann ein wöchentlicher Arbeitszeitkorridor von bis zu 45 Stunden eingerichtet werden. Die innerhalb eines Arbeitszeitkorridors geleisteten zusätzlichen Arbeitsstunden werden im Rahmen des nach Absatz 2 Satz 1 festgelegten Zeitraums ausgeglichen.</w:t>
      </w:r>
    </w:p>
    <w:p>
      <w:r>
        <w:t xml:space="preserve">(7) Durch Betriebs-/Dienstvereinbarung kann in der Zeit von 6 bis 20 Uhr eine tägliche Rahmenzeit von bis zu zwölf Stunden eingeführt werden. Die innerhalb der täglichen Rahmenzeit geleisteten zusätzlichen Arbeitsstunden werden im Rahmen des nach Absatz 2 Satz 1 festgelegten Zeitraums ausgeglichen.</w:t>
      </w:r>
    </w:p>
    <w:p>
      <w:r>
        <w:t xml:space="preserve">(8) Die Absätze 6 und 7 gelten nur alternativ und nicht bei Wechselschicht- und Schichtarbeit.</w:t>
      </w:r>
    </w:p>
    <w:p>
      <w:r>
        <w:t xml:space="preserve">(9) Für einen Betrieb/eine Verwaltung, in dem/der ein Personalvertretungsgesetz Anwendung findet, kann eine Regelung nach den Absätzen 4, 6 und 7 in einem landesbezirklichen Tarifvertrag getroffen werden, wenn eine Dienstvereinbarung nicht einvernehmlich zustande kommt und der Arbeitgeber ein Letztentscheidungsrecht hat.</w:t>
      </w:r>
    </w:p>
    <w:p>
      <w:r>
        <w:t xml:space="preserve">(10) In Verwaltungen und Betrieben, in denen auf Grund spezieller Aufgaben (zum Beispiel Ausgrabungen, Expeditionen, Schifffahrt) oder saisonbedingt erheblich verstärkte Tätigkeiten anfallen, kann für diese Tätigkeiten die regelmäßige Arbeitszeit auf bis zu 60 Stunden in einem Zeitraum von bis zu sieben Tagen verlängert werden. In diesem Fall muss durch Verkürzung der regelmäßigen wöchentlichen Arbeitszeit bis zum Ende des Ausgleichszeitraums nach Absatz 2 Satz 1 ein entsprechender Zeitausgleich durchgeführt werden. Die Sätze 1 und 2 gelten nicht für Beschäftigte gemäß §§ 41 bis 43.</w:t>
      </w:r>
    </w:p>
    <w:p>
      <w:r>
        <w:t xml:space="preserve">(11) Bei Dienstreisen gilt nur die Zeit der dienstlichen Inanspruchnahme am auswärtigen Geschäftsort als Arbeitszeit. Für jeden Tag einschließlich der Reisetage wird jedoch mindestens die auf ihn entfallende regelmäßige, durchschnittliche oder dienstplanmäßige Arbeitszeit berücksichtigt, wenn diese bei Nichtberücksichtigung der Reisezeit nicht erreicht würde. Überschreiten nicht anrechenbare Reisezeiten insgesamt 15 Stunden im Monat, so werden auf Antrag 25 v.H. dieser überschreitenden Zeiten bei fester Arbeitszeit als Freizeitausgleich gewährt und bei gleitender Arbeitszeit im Rahmen der jeweils geltenden Vorschriften auf die Arbeitszeit angerechnet. Der besonderen Situation von Teilzeitbeschäftigten ist Rechnung zu tragen. Soweit Einrichtungen in privater Rechtsform oder andere Arbeitgeber nach eigenen Grundsätzen verfahren, sind diese abweichend von den Sätzen 1 bis 4 maßgebend.</w:t>
      </w:r>
    </w:p>
    <w:p>
      <w:r>
        <w:rPr>
          <w:color w:val="555555"/>
          <w:sz w:val="17"/>
        </w:rPr>
        <w:t xml:space="preserve">Zitiervorschlag: § 6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