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TV-L (Bayern) — Sonderregelungen für Beschäftigte als Lehrkräfte</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 – Geltungsbereich –</w:t>
      </w:r>
    </w:p>
    <w:p>
      <w:r>
        <w:t xml:space="preserve">Diese Sonderregelungen gelten für Beschäftigte als Lehrkräfte an allgemein bildenden Schulen und berufsbildenden Schulen (zum Beispiel Berufs-, Berufsfach- und Fachschulen). Sie gelten nicht für Lehrkräfte an Schulen und Einrichtungen der Verwaltung, die der Ausbildung oder Fortbildung von Angehörigen des öffentlichen Dienstes dienen, sowie an Krankenpflegeschulen und ähnlichen der Ausbildung dienenden Einrichtungen, soweit es sich nach den in den Ländern jeweils geltenden landesrechtlichen Regelungen nicht um berufsbildende Schulen handelt.</w:t>
      </w:r>
    </w:p>
    <w:p>
      <w:r>
        <w:t xml:space="preserve">Protokollerklärung:</w:t>
      </w:r>
    </w:p>
    <w:p>
      <w:r>
        <w:t xml:space="preserve">Lehrkräfte im Sinne dieser Sonderregelungen sind Personen, bei denen die Vermittlung von Kenntnissen und Fertigkeiten im Rahmen eines Schulbetriebes der Tätigkeit das Gepräge gibt.</w:t>
      </w:r>
    </w:p>
    <w:p>
      <w:r>
        <w:t xml:space="preserve">Nr. 2. Zu Abschnitt II – Arbeitszeit –</w:t>
      </w:r>
    </w:p>
    <w:p>
      <w:r>
        <w:t xml:space="preserve">Die §§ 6 bis 10 finden keine Anwendung. Es gelten die Bestimmungen für die entsprechenden Beamten in der jeweils geltenden Fassung. Sind entsprechende Beamte nicht vorhanden, so ist die Arbeitszeit im Arbeitsvertrag zu regeln.</w:t>
      </w:r>
    </w:p>
    <w:p>
      <w:r>
        <w:t xml:space="preserve">Nr. 2a Zu Abschnitt III – Eingruppierung, Entgelt und sonstige Leistungen –</w:t>
      </w:r>
    </w:p>
    <w:p>
      <w:r>
        <w:t xml:space="preserve">Die §§ 12 bis 14, 16 und 17 finden Anwendung nach Maßgabe der §§ 3 bis 7 des Tarifvertrages über die Eingruppierung und die Entgeltordnung für die Lehrkräfte der Länder (TV EntgO-L) in der jeweils geltenden Fassung.</w:t>
      </w:r>
    </w:p>
    <w:p>
      <w:r>
        <w:t xml:space="preserve">Niederschriftserklärung zu § 44 Nr. 2a Ziffern 1 und 2:</w:t>
      </w:r>
    </w:p>
    <w:p>
      <w:r>
        <w:t xml:space="preserve">(aufgehoben)</w:t>
      </w:r>
    </w:p>
    <w:p>
      <w:r>
        <w:t xml:space="preserve">Nr. 3. Zu Abschnitt IV – Urlaub und Arbeitsbefreiung –</w:t>
      </w:r>
    </w:p>
    <w:p>
      <w:r>
        <w:t xml:space="preserve">(1) Der Urlaub ist in den Schulferien zu nehmen. Wird die Lehrkraft während der Schulferien durch Unfall oder Krankheit arbeitsunfähig, so hat sie dies unverzüglich anzuzeigen. Die Lehrkraft hat sich nach Ende der Schulferien oder, wenn die Krankheit länger dauert, nach Wiederherstellung der Arbeitsfähigkeit zur Arbeitsleistung zur Verfügung zu stellen.</w:t>
      </w:r>
    </w:p>
    <w:p>
      <w:r>
        <w:t xml:space="preserve">(2) Für eine Inanspruchnahme der Lehrkraft während der den Urlaub in den Schulferien übersteigenden Zeit gelten die Bestimmungen für die entsprechenden Beamten. Sind entsprechende Beamte nicht vorhanden, regeln dies die Betriebsparteien.</w:t>
      </w:r>
    </w:p>
    <w:p>
      <w:r>
        <w:t xml:space="preserve">Nr. 4. Zu Abschnitt V – Befristung und Beendigung des Arbeitsverhältnisses –</w:t>
      </w:r>
    </w:p>
    <w:p>
      <w:r>
        <w:t xml:space="preserve">Das Arbeitsverhältnis endet, ohne dass es einer Kündigung bedarf, mit Ablauf des Schulhalbjahres (31. Januar beziehungsweise 31. Juli), in dem die Lehrkraft das gesetzlich festgelegte Alter zum Erreichen der Regelaltersrente vollendet hat.</w:t>
      </w:r>
    </w:p>
    <w:p>
      <w:r>
        <w:rPr>
          <w:color w:val="555555"/>
          <w:sz w:val="17"/>
        </w:rPr>
        <w:t xml:space="preserve">Zitiervorschlag: § 44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