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TV-L (Bayern) — Sonderregelungen für Ärztinnen und Ärzte an Universitätskliniken</w:t>
      </w:r>
    </w:p>
    <w:p>
      <w:r>
        <w:rPr>
          <w:color w:val="555555"/>
          <w:sz w:val="18"/>
        </w:rPr>
        <w:t xml:space="preserve">Tarifvertrag für den öffentlichen Dienst der Länder</w:t>
      </w:r>
    </w:p>
    <w:p>
      <w:r>
        <w:rPr>
          <w:color w:val="555555"/>
          <w:sz w:val="18"/>
        </w:rPr>
        <w:t xml:space="preserve">Landesrecht Bayern</w:t>
      </w:r>
    </w:p>
    <w:p>
      <w:r>
        <w:rPr>
          <w:color w:val="555555"/>
          <w:sz w:val="18"/>
        </w:rPr>
        <w:t xml:space="preserve">Stand: 05.09.2026 (konsolidierte Textfassung, kein amtliches Inkrafttretensdatum)</w:t>
      </w:r>
    </w:p>
    <w:p>
      <w:r>
        <w:t xml:space="preserve">Nr. 1. Zu § 1</w:t>
      </w:r>
    </w:p>
    <w:p>
      <w:r>
        <w:t xml:space="preserve">– Geltungsbereich –</w:t>
      </w:r>
    </w:p>
    <w:p>
      <w:r>
        <w:t xml:space="preserve">(1) Diese Sonderregelungen gelten für Ärztinnen und Ärzte einschließlich Zahnärztinnen und Zahnärzte (Beschäftigte), die an einer Universitätsklinik überwiegend Aufgaben in der Patientenversorgung wahrnehmen. Sie gelten auch für Ärztinnen und Ärzte, die in ärztlichen Servicebereichen in der Patientenversorgung eingesetzt sind.</w:t>
      </w:r>
    </w:p>
    <w:p>
      <w:r>
        <w:t xml:space="preserve">(2) Ob und inwieweit diese Sonderregelungen auf andere Ärztinnen und Ärzte im Landesdienst (zum Beispiel an psychiatrischen Krankenhäusern) übertragen werden, ist auf Landesebene zu verhandeln.</w:t>
      </w:r>
    </w:p>
    <w:p>
      <w:r>
        <w:t xml:space="preserve">(3) Soweit in § 40 geregelte Tatbestände auch für Ärztinnen und Ärzte an Universitätskliniken einschlägig sein könnten, sind sie in die Regelungen dieses § 41 vollständig aufgenommen worden.</w:t>
      </w:r>
    </w:p>
    <w:p>
      <w:r>
        <w:t xml:space="preserve">Protokollerklärungen zu Nr. 1 Absatz 1:</w:t>
      </w:r>
    </w:p>
    <w:p>
      <w:r>
        <w:t xml:space="preserve">1. Zu den ärztlichen Servicebereichen in der Patientenversorgung zählen zum Beispiel Pathologie, Labor und Krankenhaushygiene.</w:t>
      </w:r>
    </w:p>
    <w:p>
      <w:r>
        <w:t xml:space="preserve">2. Der Tarifvertrag für das Universitätsklinikum Schleswig-Holstein (Beschäftigungspakt) vom 20. Oktober 2004 bleibt unberührt.</w:t>
      </w:r>
    </w:p>
    <w:p>
      <w:r>
        <w:t xml:space="preserve">Nr. 2. Zu § 3</w:t>
      </w:r>
    </w:p>
    <w:p>
      <w:r>
        <w:t xml:space="preserve">– Allgemeine Arbeitsbedingungen –</w:t>
      </w:r>
    </w:p>
    <w:p>
      <w:r>
        <w:t xml:space="preserve">§ 3 gilt in folgender Fassung:</w:t>
      </w:r>
    </w:p>
    <w:p>
      <w:r>
        <w:t xml:space="preserve">“§ 3</w:t>
      </w:r>
    </w:p>
    <w:p>
      <w:r>
        <w:t xml:space="preserve">Allgemeine Arbeitsbedingungen</w:t>
      </w:r>
    </w:p>
    <w:p>
      <w:r>
        <w:t xml:space="preserve">(1) Die arbeitsvertraglich geschuldete Leistung ist gewissenhaft und ordnungsgemäß auszuführen; dabei sind die Ziele der Hochschule und die spezifischen Aufgaben in Forschung, Lehre und Weiterbildung zu beachten. Die Beschäftigten müssen sich durch ihr gesamtes Verhalten zur freiheitlich demokratischen Grundordnung im Sinne des Grundgesetzes bekennen.</w:t>
      </w:r>
    </w:p>
    <w:p>
      <w:r>
        <w:t xml:space="preserve">(2) Die Beschäftigten haben über Angelegenheiten, deren Geheimhaltung durch gesetzliche Vorschriften vorgesehen oder vom Arbeitgeber angeordnet ist, Verschwiegenheit zu wahren; dies gilt auch über die Beendigung des Arbeitsverhältnisses hinaus.</w:t>
      </w:r>
    </w:p>
    <w:p>
      <w:r>
        <w:t xml:space="preserve">(3) Die Beschäftigten dürfen von Dritten Belohnungen, Geschenke, Provisionen oder sonstige Vergünstigungen mit Bezug auf ihre Tätigkeit nicht annehmen. Ausnahmen sind nur mit Zustimmung des Arbeitgebers möglich. Werden den Beschäftigten derartige Vergünstigungen angeboten, haben sie dies dem Arbeitgeber unverzüglich anzuzeigen.</w:t>
      </w:r>
    </w:p>
    <w:p>
      <w:r>
        <w:t xml:space="preserve">(4) Eine Beteiligung der Beschäftigten an Poolgeldern hat nach transparenten Grundsätzen, insbesondere unter Berücksichtigung von Verantwortung, Leistung und Erfahrung zu erfolgen. Sie richtet sich nach den landesrechtlichen Bestimmungen. Soweit keine landesrechtlichen Bestimmungen erlassen sind, soll ein Poolvolumen gemäß den Grundsätzen des Satzes 1 verteilt werden; die Klinik kann weitere Kriterien bestimmen. Die Beteiligung an Poolgeldern ist kein zusatzversorgungspflichtiges Entgelt.</w:t>
      </w:r>
    </w:p>
    <w:p>
      <w:r>
        <w:t xml:space="preserve">(5) Der Arbeitgeber ist bei begründeter Veranlassung berechtigt, Beschäftigte zu verpflichten, durch ärztliche Bescheinigung nachzuweisen, dass sie zur Leistung der arbeitsvertraglich geschuldeten Tätigkeit in der Lage sind. Bei dem beauftragten Arzt kann es sich um einen Betriebsarzt, Personalarzt oder Amtsarzt handeln, soweit sich die Betriebsparteien nicht auf einen anderen Arzt geeinigt haben. Die Kosten dieser Untersuchung trägt der Arbeitgeber. Der Arbeitgeber kann die Beschäftigten auch bei Beendigung des Arbeitsverhältnisses untersuchen lassen. Auf Verlangen der Beschäftigten ist er hierzu verpflichtet. Beschäftigte, die besonderen Ansteckungsgefahren ausgesetzt oder in gesundheitsgefährdenden Bereichen beschäftigt sind, sind in regelmäßigen Zeitabständen ärztlich zu untersuchen.</w:t>
      </w:r>
    </w:p>
    <w:p>
      <w:r>
        <w:t xml:space="preserve">(6) Die Beschäftigten haben ein Recht auf Einsicht in ihre vollständigen Personalakten. Sie können das Recht auf Einsicht auch durch eine/n hierzu schriftlich Bevollmächtigte/n ausüben lassen. Sie können Auszüge oder Kopien aus ihren Personalakten erhalten. Die Beschäftigten müssen über Beschwerden und Behauptungen tatsächlicher Art, die für sie ungünstig sind oder ihnen nachteilig werden können, vor Aufnahme in die Personalakten gehört werden. Ihre Äußerung ist zu den Personalakten zu nehmen.</w:t>
      </w:r>
    </w:p>
    <w:p>
      <w:r>
        <w:t xml:space="preserve">(7) Für die Schadenshaftung der Beschäftigten finden die Bestimmungen, die für die Beamten des jeweiligen Landes jeweils gelten, entsprechende Anwendung.</w:t>
      </w:r>
    </w:p>
    <w:p>
      <w:r>
        <w:t xml:space="preserve">(8) Der Arbeitgeber hat bei der Wahrnehmung des Direktionsrechts die Grundrechte der Wissenschaftsfreiheit und das Grundrecht der Gewissensfreiheit zu beachten. Für Konfliktfälle wird eine Ombudsperson oder eine Schlichtungskommission durch die Betriebsparteien bestimmt, die Empfehlungen zur Konfliktlösung aussprechen kann. Gesetzliche Ansprüche bleiben von den Empfehlungen der Schlichtung unberührt.</w:t>
      </w:r>
    </w:p>
    <w:p>
      <w:r>
        <w:t xml:space="preserve">(9) Zu den Pflichten der Beschäftigten gehört es auch, ärztliche Bescheinigungen auszustellen. Die Beschäftigten können vom Arbeitgeber verpflichtet werden, im Rahmen einer zugelassenen Nebentätigkeit von leitenden Ärztinnen und Ärzten oder für Belegärztinnen und Belegärzte innerhalb der Einrichtung ärztlich tätig zu werden.</w:t>
      </w:r>
    </w:p>
    <w:p>
      <w:r>
        <w:t xml:space="preserve">(10) Zu den Pflichten der Beschäftigten aus der Haupttätigkeit gehört es, am Rettungsdienst in Notarztwagen und Hubschraubern teilzunehmen. Für jeden Einsatz in diesem Rettungsdienst erhalten die Beschäftigten einen nicht zusatzversorgungspflichtigen Einsatzzuschlag in Höhe von 15,41 Euro. Dieser Betrag verändert sich zu demselben Zeitpunkt und in dem gleichen Ausmaß wie das Tabellenentgelt der Entgeltgruppe Ä 1 Stufe 2.</w:t>
      </w:r>
    </w:p>
    <w:p>
      <w:r>
        <w:t xml:space="preserve">Protokollerklärungen zu § 3 Absatz 10:</w:t>
      </w:r>
    </w:p>
    <w:p>
      <w:r>
        <w:t xml:space="preserve">1. Beschäftigte, denen aus persönlichen Gründen (zum Beispiel Vorliegen einer anerkannten Minderung der Erwerbsfähigkeit, die dem Einsatz im Rettungsdienst entgegensteht, Flugunverträglichkeit) oder aus fachlichen Gründen die Teilnahme am Rettungsdienst nicht zumutbar beziehungsweise untersagt ist, dürfen nicht zum Einsatz im Rettungsdienst herangezogen werden.</w:t>
      </w:r>
    </w:p>
    <w:p>
      <w:r>
        <w:t xml:space="preserve">2. Der Einsatzzuschlag steht nicht zu, wenn den Beschäftigten wegen der Teilnahme am Rettungsdienst außer den tariflichen Bezügen sonstige Leistungen vom Arbeitgeber oder von einem Dritten (zum Beispiel private Unfallversicherung, für die der Arbeitgeber oder ein Träger des Rettungsdienstes die Beiträge ganz oder teilweise trägt, Liquidationsansprüche) zustehen. Die Beschäftigten können auf die sonstigen Leistungen verzichten.</w:t>
      </w:r>
    </w:p>
    <w:p>
      <w:r>
        <w:t xml:space="preserve">3. Der Einsatzzuschlag beträgt</w:t>
      </w:r>
    </w:p>
    <w:p>
      <w:r>
        <w:t xml:space="preserve">– 24,19 Euro vom 1. Februar 2025 bis 31. März 2026,</w:t>
      </w:r>
    </w:p>
    <w:p>
      <w:r>
        <w:t xml:space="preserve">– 24,87 Euro vom 1. April 2026 bis 28. Februar 2027,</w:t>
      </w:r>
    </w:p>
    <w:p>
      <w:r>
        <w:t xml:space="preserve">– 25,37 Euro vom 1. März bis 31. Dezember 2027 und</w:t>
      </w:r>
    </w:p>
    <w:p>
      <w:r>
        <w:t xml:space="preserve">– 25,62 Euro ab 1. Januar 2028.</w:t>
      </w:r>
    </w:p>
    <w:p>
      <w:r>
        <w:t xml:space="preserve">(11) Zu den Pflichten der Beschäftigten aus der Haupttätigkeit gehören auch die Erstellung von Gutachten, gutachtlichen Äußerungen und wissenschaftlichen Ausarbeitungen, die nicht von einem Dritten angefordert und vergütet werden.</w:t>
      </w:r>
    </w:p>
    <w:p>
      <w:r>
        <w:t xml:space="preserve">(12) Für die Nebentätigkeiten der Beschäftigten finden die Bestimmungen, die für die Beamten des jeweiligen Landes jeweils gelten, sinngemäß Anwendung. Die Beschäftigten können vom Arbeitgeber verpflichtet werden, als Nebentätigkeit Unterricht zu erteilen sowie Gutachten, gutachtliche Äußerungen und wissenschaftliche Ausarbeitungen zu erstellen, die von einem Dritten angefordert und vergütet werden. Dies gilt auch im Rahmen einer zugelassenen Nebentätigkeit des leitenden Arztes. Steht die Vergütung für das Gutachten, die gutachtliche Äußerung oder wissenschaftliche Ausarbeitung ausschließlich dem Arbeitgeber zu, so haben die Beschäftigten entsprechend ihrer Beteiligung einen Anspruch auf einen Teil dieser Vergütung. In allen anderen Fällen sind die Beschäftigten berechtigt, für die Nebentätigkeit einen Anteil der Vergütung anzunehmen, die von dem Dritten zu zahlen ist. Die Beschäftigten können die Übernahme der Nebentätigkeit verweigern, wenn die angebotene Vergütung offenbar nicht dem Umfang ihrer Beteiligung entspricht. Im Übrigen kann die Übernahme der Nebentätigkeit nur in besonders begründeten Ausnahmefällen verweigert werden.</w:t>
      </w:r>
    </w:p>
    <w:p>
      <w:r>
        <w:t xml:space="preserve">(13) Auch die Ausübung einer unentgeltlichen Nebentätigkeit bedarf der vorherigen Genehmigung des Arbeitgebers, wenn für sie Räume, Einrichtungen, Personal oder Material des Arbeitgebers in Anspruch genommen werden.</w:t>
      </w:r>
    </w:p>
    <w:p>
      <w:r>
        <w:t xml:space="preserve">(14) Werden für eine Nebentätigkeit Räume, Einrichtungen, Personal oder Material des Arbeitgebers in Anspruch genommen, so haben die Beschäftigten dem Arbeitgeber die Kosten hierfür zu erstatten, soweit sie nicht von anderer Seite zu erstatten sind. Die Kosten können in einer Nebenabrede zum Arbeitsvertrag pauschaliert werden.“</w:t>
      </w:r>
    </w:p>
    <w:p>
      <w:r>
        <w:t xml:space="preserve">Nr. 3. Zu § 6</w:t>
      </w:r>
    </w:p>
    <w:p>
      <w:r>
        <w:t xml:space="preserve">– Regelmäßige Arbeitszeit –</w:t>
      </w:r>
    </w:p>
    <w:p>
      <w:r>
        <w:t xml:space="preserve">1. § 6 Absatz 1 bis 5 gelten in folgender Fassung:</w:t>
      </w:r>
    </w:p>
    <w:p>
      <w:r>
        <w:t xml:space="preserve">“(1) Die durchschnittliche regelmäßige wöchentliche Arbeitszeit ausschließlich der Pausen beträgt 42 Stunden. Die regelmäßige Arbeitszeit kann auf fünf Tage, aus notwendigen betrieblichen/dienstlichen Gründen auch auf sechs Tage verteilt werden.</w:t>
      </w:r>
    </w:p>
    <w:p>
      <w:r>
        <w:t xml:space="preserve">(2) Für die Berechnung des Durchschnitts der regelmäßigen wöchentlichen Arbeitszeit ist ein Zeitraum von einem Jahr zugrunde zu legen. Abweichend kann bei Beschäftigten, die ständig Wechselschicht- oder Schichtarbeit zu leisten haben, sowie für die Durchführung so genannter Sabbatjahrmodelle, ein längerer Zeitraum zugrunde gelegt werden.</w:t>
      </w:r>
    </w:p>
    <w:p>
      <w:r>
        <w:t xml:space="preserve">(3) Soweit es die betrieblichen/dienstlichen Verhältnisse zulassen, werden Beschäftigte am 24. Dezember und am 31. Dezember unter Fortzahlung des Tabellenentgelts und der sonstigen in Monatsbeträgen festgelegten Entgeltbestandteile von der Arbeit freigestellt. Kann die Freistellung nach Satz 1 aus betrieblichen/dienstlichen Gründen nicht erfolgen, ist entsprechender Freizeitausgleich innerhalb von drei Monaten zu gewähren. Die regelmäßige Arbeitszeit vermindert sich für den 24. Dezember und 31. Dezember, sofern sie auf einen Werktag fallen, um die dienstplanmäßig ausgefallenen Stunden. Die Arbeitszeit an einem gesetzlichen Feiertag, der auf einen Werktag fällt, wird durch eine entsprechende Freistellung an einem anderen Werktag bis zum Ende des dritten Kalendermonats ausgeglichen, wenn es die betrieblichen Verhältnisse zulassen; der Ausgleich soll möglichst aber schon bis zum Ende des nächsten Kalendermonats erfolgen. Kann ein Freizeitausgleich nicht gewährt werden, erhalten die Beschäftigten je Stunde 100 v.H. des Stundenentgelts; Stundenentgelt ist der auf eine Stunde entfallende Anteil des monatlichen Entgelts der jeweiligen Entgeltgruppe und Stufe nach der Entgelttabelle. Ist ein Arbeitszeitkonto eingerichtet, ist eine Buchung gemäß § 10 Absatz 3 zulässig. In den Fällen des Satzes 4 steht der Zeitzuschlag von 35 v.H. (§ 8 Absatz 1 Satz 2 Buchstabe d) zu. Für Beschäftigte, die regelmäßig nach einem Dienstplan eingesetzt werden, der Wechselschicht- oder Schichtdienst an sieben Tagen in der Woche vorsieht, vermindert sich die regelmäßige Wochenarbeitszeit um ein Fünftel der arbeitsvertraglich vereinbarten durchschnittlichen Wochenarbeitszeit, wenn sie an einem gesetzlichen Feiertag, der auf einen Werktag fällt, nicht wegen des Feiertags, sondern dienstplanmäßig nicht zur Arbeit eingeteilt sind und deswegen an anderen Tagen der Woche ihre regelmäßige Arbeitszeit erbringen müssen. In den Fällen des Satzes 8 gelten die Sätze 4 bis 7 nicht.</w:t>
      </w:r>
    </w:p>
    <w:p>
      <w:r>
        <w:t xml:space="preserve">Protokollerklärung zu § 6 Absatz 3 Satz 3:</w:t>
      </w:r>
    </w:p>
    <w:p>
      <w:r>
        <w:t xml:space="preserve">Die Verminderung der regelmäßigen Arbeitszeit betrifft die Beschäftigten, die wegen des Dienstplans frei haben und deshalb ohne diese Regelung nacharbeiten müssten.</w:t>
      </w:r>
    </w:p>
    <w:p>
      <w:r>
        <w:t xml:space="preserve">(4) Aus dringenden betrieblichen/dienstlichen Gründen kann auf der Grundlage einer Betriebs-/Dienstvereinbarung im Rahmen des § 7 Absatz 1, 2 und des § 12 Arbeitszeitgesetz von den Vorschriften des Arbeitszeitgesetzes abgewichen werden.</w:t>
      </w:r>
    </w:p>
    <w:p>
      <w:r>
        <w:t xml:space="preserve">(5) Die Beschäftigten sind im Rahmen begründeter betrieblicher/dienstlicher Notwendigkeiten verpflichtet, Sonntags-, Feiertags-, Nacht-, Wechselschicht-, Schichtarbeit sowie – bei Teilzeitbeschäftigung aufgrund arbeitsvertraglicher Regelung oder mit ihrer Zustimmung – Bereitschaftsdienst, Rufbereitschaft, Überstunden und Mehrarbeit zu leisten. Beschäftigte, die regelmäßig an Sonn- und Feiertagen arbeiten müssen, erhalten innerhalb von zwei Wochen zwei arbeitsfreie Tage. Hiervon soll ein freier Tag auf einen Sonntag fallen.“</w:t>
      </w:r>
    </w:p>
    <w:p>
      <w:r>
        <w:t xml:space="preserve">2. § 6 Absatz 10 gilt in folgender Fassung:</w:t>
      </w:r>
    </w:p>
    <w:p>
      <w:r>
        <w:t xml:space="preserve">“(10) Unter den Voraussetzungen des Arbeitszeit- und Arbeitsschutzgesetzes, insbesondere des § 5 Arbeitsschutzgesetz, kann die tägliche Arbeitszeit im Schichtdienst auf bis zu 12 Stunden ausschließlich der Pausen ausgedehnt werden, um längere Freizeitintervalle zu schaffen oder die Zahl der Wochenenddienste zu vermindern. In unmittelbarer Folge dürfen nicht mehr als vier Zwölf-Stunden-Schichten und innerhalb von zwei Kalenderwochen nicht mehr als acht Zwölf-Stunden-Schichten geleistet werden. Solche Schichten können nicht mit Bereitschaftsdienst (§ 7 Absatz 3) kombiniert werden.“</w:t>
      </w:r>
    </w:p>
    <w:p>
      <w:r>
        <w:t xml:space="preserve">3. Nach § 6 Absatz 11 wird folgender Absatz 12 eingefügt:</w:t>
      </w:r>
    </w:p>
    <w:p>
      <w:r>
        <w:t xml:space="preserve">“(12) Wird den Beschäftigten durch ausdrückliche Anordnung des Arbeitgebers eine Sonderfunktion innerhalb der Klinik übertragen (zum Beispiel Transplantationsbeauftragte/Transplantationsbeauftragter, Strahlenschutzbeauftragte/Strahlenschutzbeauftragter), sind sie für diese Tätigkeit und die Fortbildung hierzu in erforderlichem Umfang von ihren sonstigen Aufgaben freizustellen.“</w:t>
      </w:r>
    </w:p>
    <w:p>
      <w:r>
        <w:t xml:space="preserve">4. Zu § 6 gelten folgende Protokollerklärungen:</w:t>
      </w:r>
    </w:p>
    <w:p>
      <w:r>
        <w:t xml:space="preserve">“Protokollerklärungen zu § 6:</w:t>
      </w:r>
    </w:p>
    <w:p>
      <w:r>
        <w:t xml:space="preserve">1. Die Tarifvertragsparteien erwarten, dass den Beschäftigten bei der Festlegung der Arbeitszeit ein angemessener zeitlicher Anteil der Arbeitszeit für ihre wissenschaftliche Tätigkeit in Forschung und Lehre zugestanden wird. Die in den Hochschulgesetzen der Länder geregelten Mindestzeiten für die Ausübung wissenschaftlicher Tätigkeit bleiben unberührt.</w:t>
      </w:r>
    </w:p>
    <w:p>
      <w:r>
        <w:t xml:space="preserve">2. Die Tarifvertragsparteien erwarten, dass die Kliniken zusammen mit den Beschäftigten nach Wegen suchen, die Beschäftigten von bürokratischen, patientenfernen Aufgaben zu entlasten und deren Arbeitsabläufe besser zu organisieren.</w:t>
      </w:r>
    </w:p>
    <w:p>
      <w:r>
        <w:t xml:space="preserve">3. Die Tarifvertragsparteien erwarten, dass in den Kliniken unter Einbeziehung der Beschäftigten intensiv alternative Arbeitszeitmodelle entwickelt werden, die sowohl den gesetzlichen Anforderungen als auch veränderten betrieblichen Anforderungen entsprechen.</w:t>
      </w:r>
    </w:p>
    <w:p>
      <w:r>
        <w:t xml:space="preserve">4. Die Arbeitszeiten der Beschäftigten sollen objektiv dokumentiert werden. Die konkrete Anwendung wird durch Pilotprojekte geprüft.“</w:t>
      </w:r>
    </w:p>
    <w:p>
      <w:r>
        <w:t xml:space="preserve">Nr. 4. Zu § 7</w:t>
      </w:r>
    </w:p>
    <w:p>
      <w:r>
        <w:t xml:space="preserve">– Sonderformen der Arbeit –</w:t>
      </w:r>
    </w:p>
    <w:p>
      <w:r>
        <w:t xml:space="preserve">1. § 7 Absatz 1 gilt in folgender Fassung:</w:t>
      </w:r>
    </w:p>
    <w:p>
      <w:r>
        <w:t xml:space="preserve">“(1) Wechselschichtarbeit ist die Arbeit nach einem Schichtplan, der einen regelmäßigen Wechsel der täglichen Arbeitszeit in Wechselschichten vorsieht, bei denen die/der Beschäftigte durchschnittlich längstens nach Ablauf eines Monats erneut zu mindestens zwei Nachtschichten herangezogen wird. Wechselschichten sind wechselnde Arbeitsschichten, in denen ununterbrochen bei Tag und Nacht, werktags, sonntags und feiertags gearbeitet wird. Nachtschichten sind Arbeitsschichten, die mindestens zwei Stunden Nachtarbeit umfassen.“</w:t>
      </w:r>
    </w:p>
    <w:p>
      <w:r>
        <w:t xml:space="preserve">Niederschriftserklärung zu § 41 Nr. 4, § 42 Nr. 5 und § 43 Nr. 4 (betreffend § 7 Absatz 1 TV-L):</w:t>
      </w:r>
    </w:p>
    <w:p>
      <w:r>
        <w:t xml:space="preserve">Der Anspruch auf die Wechselschichtzulage ist auch erfüllt, wenn unter Einhaltung der Monatsfrist zwei Nachtdienste geleistet werden, die nicht zwingend unmittelbar aufeinander folgen müssen.</w:t>
      </w:r>
    </w:p>
    <w:p>
      <w:r>
        <w:t xml:space="preserve">2. § 7 Absätze 3 und 4 gelten in folgender Fassung:</w:t>
      </w:r>
    </w:p>
    <w:p>
      <w:r>
        <w:t xml:space="preserve">“(3) Beschäftigte sind verpflichtet, sich auf Anordnung des Arbeitgebers außerhalb der regelmäßigen Arbeitszeit an einer vom Arbeitgeber bestimmten Stelle aufzuhalten, um im Bedarfsfall die Arbeit aufzunehmen (Bereitschaftsdienst). Der Arbeitgeber darf Bereitschaftsdienst nur anordnen, wenn zu erwarten ist, dass zwar Arbeit anfällt, erfahrungsgemäß aber die Zeit ohne Arbeitsleistung überwiegt.</w:t>
      </w:r>
    </w:p>
    <w:p>
      <w:r>
        <w:t xml:space="preserve">(4) Rufbereitschaft leisten Beschäftigte, die sich auf Anordnung des Arbeitgebers außerhalb der regelmäßigen Arbeitszeit an einer dem Arbeitgeber anzuzeigenden Stelle aufhalten, um auf Abruf die Arbeit aufzunehmen. Der Arbeitgeber darf Rufbereitschaft nur anordnen, wenn erfahrungsgemäß lediglich in Ausnahmefällen Arbeit anfällt. Rufbereitschaft wird nicht dadurch ausgeschlossen, dass Beschäftigte vom Arbeitgeber mit einem Mobiltelefon oder einem vergleichbaren technischen Hilfsmittel ausgestattet sind. Durch tatsächliche Arbeitsleistung innerhalb der Rufbereitschaft kann die tägliche Höchstarbeitszeit von zehn Stunden überschritten werden (§§ 3, 7 Absatz 1 Nr. 1 und Nr. 4 Arbeitszeitgesetz).“</w:t>
      </w:r>
    </w:p>
    <w:p>
      <w:r>
        <w:t xml:space="preserve">3. § 7 erhält folgende Absätze 9 bis 11:</w:t>
      </w:r>
    </w:p>
    <w:p>
      <w:r>
        <w:t xml:space="preserve">“(9) Wenn in die Arbeitszeit regelmäßig und in erheblichem Umfang Bereitschaftsdienst fällt, kann im Rahmen des § 7 Absatz 1 Nr. 1 und Nr. 4 Arbeitszeitgesetz die tägliche Arbeitszeit im Sinne des Arbeitszeitgesetzes abweichend von den §§ 3 und 6 Absatz 2 Arbeitszeitgesetz über acht Stunden hinaus auf bis zu 24 Stunden (8 Stunden Volldienst und 16 Stunden Bereitschaftsdienst) verlängert werden, wenn mindestens die Zeit über acht Stunden als Bereitschaftsdienst abgeleistet wird. Die Verlängerung setzt voraus:</w:t>
      </w:r>
    </w:p>
    <w:p>
      <w:r>
        <w:t xml:space="preserve">a) eine Prüfung alternativer Arbeitszeitmodelle,</w:t>
      </w:r>
    </w:p>
    <w:p>
      <w:r>
        <w:t xml:space="preserve">b) eine Belastungsanalyse gemäß § 5 Arbeitsschutzgesetz und</w:t>
      </w:r>
    </w:p>
    <w:p>
      <w:r>
        <w:t xml:space="preserve">c) gegebenenfalls daraus resultierende Maßnahmen zur Gewährleistung des Gesundheitsschutzes.</w:t>
      </w:r>
    </w:p>
    <w:p>
      <w:r>
        <w:t xml:space="preserve">Die tägliche Arbeitszeit darf bei Ableistung ausschließlich von Bereitschaftsdienst an Samstagen, Sonn- und Feiertagen maximal 24 Stunden betragen, wenn dadurch für den Einzelnen mehr Wochenenden und Feiertage frei sind.</w:t>
      </w:r>
    </w:p>
    <w:p>
      <w:r>
        <w:t xml:space="preserve">(10) Unter den Voraussetzungen des Absatzes 9 Satz 2 Buchstabe a bis c und bei Einhaltung der Grenzwerte des Absatzes 9 kann im Rahmen des § 7 Absatz 2a Arbeitszeitgesetz eine Verlängerung der täglichen Arbeitszeit über acht Stunden hinaus auch ohne Ausgleich erfolgen. Dabei ist eine wöchentliche Arbeitszeit von bis zu maximal durchschnittlich 58 Stunden in der Bereitschaftsdienststufe I und von bis zu maximal durchschnittlich 54 Stunden in der Bereitschaftsdienststufe II zulässig. Durch Tarifvertrag auf Landesebene kann in begründeten Einzelfällen eine durchschnittliche wöchentliche Höchstarbeitszeit von bis zu 66 Stunden vereinbart werden. Für die Berechnung des Durchschnitts der wöchentlichen Arbeitszeit ist ein Zeitraum von einem Jahr zugrunde zu legen.</w:t>
      </w:r>
    </w:p>
    <w:p>
      <w:r>
        <w:t xml:space="preserve">Niederschriftserklärung zu § 41 Nr. 4 (betreffend § 7 Absatz 10 TV-L):</w:t>
      </w:r>
    </w:p>
    <w:p>
      <w:r>
        <w:t xml:space="preserve">Die Tarifvertragsparteien gehen davon aus, dass es für die Vereinbarung einer durchschnittlichen wöchentlichen Höchstarbeitszeit von bis zu 66 Stunden einen Bedarf geben kann.</w:t>
      </w:r>
    </w:p>
    <w:p>
      <w:r>
        <w:t xml:space="preserve">(11) In den Fällen, in denen Teilzeitarbeit (§ 11) vereinbart wurde, verringern sich die Höchstgrenzen der wöchentlichen Arbeitszeit in Absatz 10 – beziehungsweise in den Fällen, in denen Absatz 10 nicht zur Anwendung kommt, die Höchstgrenze von 48 Stunden – in demselben Verhältnis wie die Arbeitszeit dieser Teilzeitbeschäftigten zu der regelmäßigen Arbeitszeit der Vollbeschäftigten verringert worden ist. Mit Zustimmung der/des Beschäftigten oder aufgrund von dringenden dienstlichen oder betrieblichen Belangen kann hiervon abgewichen werden.“</w:t>
      </w:r>
    </w:p>
    <w:p>
      <w:r>
        <w:t xml:space="preserve">Nr. 5. Zu § 8</w:t>
      </w:r>
    </w:p>
    <w:p>
      <w:r>
        <w:t xml:space="preserve">– Ausgleich für Sonderformen der Arbeit –</w:t>
      </w:r>
    </w:p>
    <w:p>
      <w:r>
        <w:t xml:space="preserve">1. § 8 Absatz 1 gilt in folgender Fassung:</w:t>
      </w:r>
    </w:p>
    <w:p>
      <w:r>
        <w:t xml:space="preserve">“(1) Beschäftigte erhalten neben dem Entgelt für die tatsächliche Arbeitsleistung Zeitzuschläge. Die Zeitzuschläge betragen – auch bei Teilzeitbeschäftigten – je Stunde</w:t>
      </w:r>
    </w:p>
    <w:p>
      <w:r>
        <w:t xml:space="preserve">a)</w:t>
      </w:r>
    </w:p>
    <w:p>
      <w:r>
        <w:t xml:space="preserve">für Überstunden</w:t>
      </w:r>
    </w:p>
    <w:p>
      <w:r>
        <w:t xml:space="preserve">15 v.H.,</w:t>
      </w:r>
    </w:p>
    <w:p>
      <w:r>
        <w:t xml:space="preserve">b)</w:t>
      </w:r>
    </w:p>
    <w:p>
      <w:r>
        <w:t xml:space="preserve">für Nachtarbeit</w:t>
      </w:r>
    </w:p>
    <w:p>
      <w:r>
        <w:t xml:space="preserve">20 v.H.,</w:t>
      </w:r>
    </w:p>
    <w:p>
      <w:r>
        <w:t xml:space="preserve">c)</w:t>
      </w:r>
    </w:p>
    <w:p>
      <w:r>
        <w:t xml:space="preserve">für Sonntagsarbeit</w:t>
      </w:r>
    </w:p>
    <w:p>
      <w:r>
        <w:t xml:space="preserve">25 v.H.,</w:t>
      </w:r>
    </w:p>
    <w:p>
      <w:r>
        <w:t xml:space="preserve">d)</w:t>
      </w:r>
    </w:p>
    <w:p>
      <w:r>
        <w:t xml:space="preserve">bei Feiertagsarbeit</w:t>
      </w:r>
    </w:p>
    <w:p>
      <w:r>
        <w:t xml:space="preserve">–</w:t>
      </w:r>
    </w:p>
    <w:p>
      <w:r>
        <w:t xml:space="preserve">ohne Freizeitausgleich</w:t>
      </w:r>
    </w:p>
    <w:p>
      <w:r>
        <w:t xml:space="preserve">135 v.H.,</w:t>
      </w:r>
    </w:p>
    <w:p>
      <w:r>
        <w:t xml:space="preserve">–</w:t>
      </w:r>
    </w:p>
    <w:p>
      <w:r>
        <w:t xml:space="preserve">mit Freizeitausgleich</w:t>
      </w:r>
    </w:p>
    <w:p>
      <w:r>
        <w:t xml:space="preserve">35 v.H.,</w:t>
      </w:r>
    </w:p>
    <w:p>
      <w:r>
        <w:t xml:space="preserve">e)</w:t>
      </w:r>
    </w:p>
    <w:p>
      <w:r>
        <w:t xml:space="preserve">für Arbeit am 24. Dezember und am 31. Dezember jeweils ab 6 Uhr</w:t>
      </w:r>
    </w:p>
    <w:p>
      <w:r>
        <w:t xml:space="preserve">35 v.H.,</w:t>
      </w:r>
    </w:p>
    <w:p>
      <w:r>
        <w:t xml:space="preserve">f)</w:t>
      </w:r>
    </w:p>
    <w:p>
      <w:r>
        <w:t xml:space="preserve">für Arbeit an Samstagen von 13 bis 21 Uhr</w:t>
      </w:r>
    </w:p>
    <w:p>
      <w:r>
        <w:t xml:space="preserve">0,64 €;</w:t>
      </w:r>
    </w:p>
    <w:p>
      <w:r>
        <w:t xml:space="preserve">in den Fällen der Buchstaben a bis e beziehen sich die Werte bei Ärzten der Entgeltgruppe Ä 1 auf den Anteil des Tabellenentgelts der Stufe 3 und bei Ärzten der Entgeltgruppen Ä 2 bis Ä 4 auf den Anteil des Tabellenentgelts der Stufe 1 der jeweiligen Entgeltgruppe, der auf eine Stunde entfällt. Beim Zusammentreffen von Zeitzuschlägen nach Satz 2 Buchstabe c bis f wird nur der höchste Zeitzuschlag gezahlt. Auf Wunsch der Beschäftigten können, soweit ein Arbeitszeitkonto (§ 10) eingerichtet ist und die betrieblichen/dienstlichen Verhältnisse es zulassen, die nach Satz 2 zu zahlenden Zeitzuschläge entsprechend dem jeweiligen Vomhundertsatz einer Stunde in Zeit umgewandelt und ausgeglichen werden.</w:t>
      </w:r>
    </w:p>
    <w:p>
      <w:r>
        <w:t xml:space="preserve">Dies gilt entsprechend für Überstunden als solche.</w:t>
      </w:r>
    </w:p>
    <w:p>
      <w:r>
        <w:t xml:space="preserve">Protokollerklärung zu § 8 Absatz 1 Satz 2:</w:t>
      </w:r>
    </w:p>
    <w:p>
      <w:r>
        <w:t xml:space="preserve">Bei Überstunden richtet sich das Entgelt für die tatsächliche Arbeitsleistung nach der jeweiligen Entgeltgruppe und der individuellen Stufe, höchstens jedoch nach der Stufe 2.</w:t>
      </w:r>
    </w:p>
    <w:p>
      <w:r>
        <w:t xml:space="preserve">Protokollerklärung zu § 8 Absatz 1 Satz 2 Buchstabe d:Der Freizeitausgleich muss im Dienstplan besonders ausgewiesen und bezeichnet werden. Falls kein Freizeitausgleich gewährt wird, werden als Entgelt einschließlich des Zeitzuschlags und des auf den Feiertag entfallenden Tabellenentgelts höchstens 235 v.H. gezahlt.“</w:t>
      </w:r>
    </w:p>
    <w:p>
      <w:r>
        <w:t xml:space="preserve">2. § 8 Abs. 2 gilt in folgender Fassung:</w:t>
      </w:r>
    </w:p>
    <w:p>
      <w:r>
        <w:t xml:space="preserve">“(2) Überstunden sind grundsätzlich durch entsprechende Freizeit auszugleichen; für die Zeit des Freizeitausgleichs werden das Tabellenentgelt sowie die sonstigen, in Monatsbeträgen festgelegten Entgeltbestandteile weitergezahlt. Sofern kein Arbeitszeitkonto nach § 10 eingerichtet ist, oder wenn ein solches besteht, die/der Beschäftigte jedoch keine Faktorisierung nach Absatz 1 geltend macht, erhält die/der Beschäftigte für Überstunden (§ 7 Absatz 7), die nicht bis zum Ende des dritten Kalendermonats – möglichst aber schon bis zum Ende des nächsten Kalendermonats – nach deren Entstehen mit Freizeit ausgeglichen worden sind, je Stunde 100 v.H. des auf die Stunde entfallenden Anteils des Tabellenentgelts der jeweiligen Entgeltgruppe und Stufe, höchstens jedoch nach der Stufe 2. Der Anspruch auf den Zeitzuschlag für Überstunden nach Absatz 1 besteht unabhängig von einem Freizeitausgleich.“</w:t>
      </w:r>
    </w:p>
    <w:p>
      <w:r>
        <w:t xml:space="preserve">3. § 8 Absatz 3 gilt nicht.</w:t>
      </w:r>
    </w:p>
    <w:p>
      <w:r>
        <w:t xml:space="preserve">4. § 8 Absatz 6 gilt in folgender Fassung:</w:t>
      </w:r>
    </w:p>
    <w:p>
      <w:r>
        <w:t xml:space="preserve">“(6) Zur Berechnung des Entgelts wird die Zeit des Bereitschaftsdienstes einschließlich der geleisteten Arbeit in zwei Stufen als Arbeitszeit gewertet. Ausschlaggebend sind die Arbeitsleistungen, die während des Bereitschaftsdienstes erfahrungsgemäß durchschnittlich anfallen:</w:t>
      </w:r>
    </w:p>
    <w:p>
      <w:r>
        <w:t xml:space="preserve">Bereitschaftsdienststufe</w:t>
      </w:r>
    </w:p>
    <w:p>
      <w:r>
        <w:t xml:space="preserve">Arbeitsleistung innerhalb des Bereitschaftsdienstes</w:t>
      </w:r>
    </w:p>
    <w:p>
      <w:r>
        <w:t xml:space="preserve">Bewertung als Arbeitszeit</w:t>
      </w:r>
    </w:p>
    <w:p>
      <w:r>
        <w:t xml:space="preserve">I</w:t>
      </w:r>
    </w:p>
    <w:p>
      <w:r>
        <w:t xml:space="preserve">0 bis zu 25 v.H.</w:t>
      </w:r>
    </w:p>
    <w:p>
      <w:r>
        <w:t xml:space="preserve">60 v.H.</w:t>
      </w:r>
    </w:p>
    <w:p>
      <w:r>
        <w:t xml:space="preserve">II</w:t>
      </w:r>
    </w:p>
    <w:p>
      <w:r>
        <w:t xml:space="preserve">mehr als 25 v.H. bis 49 v.H.</w:t>
      </w:r>
    </w:p>
    <w:p>
      <w:r>
        <w:t xml:space="preserve">95 v.H.</w:t>
      </w:r>
    </w:p>
    <w:p>
      <w:r>
        <w:t xml:space="preserve">Für die Zeit des Bereitschaftsdienstes an gesetzlichen Feiertagen erhöht sich die Bewertung um 25 Prozentpunkte. Im Übrigen werden Zeitzuschläge (Absatz 1) für die Zeit des Bereitschaftsdienstes einschließlich der geleisteten Arbeit nicht gezahlt. Für die Zeit des Bereitschaftsdienstes, die als Arbeitszeit gewertet wird, wird das tarifliche Stundenentgelt der jeweiligen Entgeltgruppe und Stufe (individuelles Stundenentgelt) gezahlt. Das Bereitschaftsdienstentgelt kann im Verhältnis 1:1 in Freizeit abgegolten werden (Freizeitausgleich). Für die Zeit des Freizeitausgleichs werden das Entgelt und die in Monatsbeträgen festgelegten Zulagen fortgezahlt. Die Zuweisung zu den Stufen des Bereitschaftsdienstes erfolgt durch schriftliche Nebenabrede zum Arbeitsvertrag. Die Nebenabrede ist mit einer Frist von drei Monaten jeweils zum Ende eines Kalenderhalbjahres kündbar.“</w:t>
      </w:r>
    </w:p>
    <w:p>
      <w:r>
        <w:t xml:space="preserve">Nr. 6. Zu § 9 – Bereitschaftszeiten –</w:t>
      </w:r>
    </w:p>
    <w:p>
      <w:r>
        <w:t xml:space="preserve">gilt nicht.§ 9</w:t>
      </w:r>
    </w:p>
    <w:p>
      <w:r>
        <w:t xml:space="preserve">Niederschriftserklärung zu § 41 Nr. 6, § 42 Nr. 6 und § 43 Nr. 5 (betreffend §§ 6 bis 10 TV-L):Die Dokumentation der Arbeitszeit, der Mehrarbeit, der Überstunden, der Bereitschaftsdienste usw. ist nicht mit dem Arbeitszeitkonto (§ 10 TV-L) gleichzusetzen. Arbeitszeitkonten können nur auf der Grundlage des § 10 TV-L durch Betriebs- bzw. Dienstvereinbarung eingerichtet und geführt werden.</w:t>
      </w:r>
    </w:p>
    <w:p>
      <w:r>
        <w:t xml:space="preserve">Nr. 7. Zu § 12 – Eingruppierung –</w:t>
      </w:r>
    </w:p>
    <w:p>
      <w:r>
        <w:t xml:space="preserve">§ 12 gilt in folgender Fassung:</w:t>
      </w:r>
    </w:p>
    <w:p>
      <w:r>
        <w:t xml:space="preserve">“§ 12</w:t>
      </w:r>
    </w:p>
    <w:p>
      <w:r>
        <w:t xml:space="preserve">Eingruppierung</w:t>
      </w:r>
    </w:p>
    <w:p>
      <w:r>
        <w:t xml:space="preserve">Die Beschäftigten sind entsprechend ihrer nicht nur vorübergehend und zeitlich mindestens zur Hälfte auszuübenden Tätigkeit wie folgt eingruppiert:</w:t>
      </w:r>
    </w:p>
    <w:p>
      <w:r>
        <w:t xml:space="preserve">Entgeltgruppe</w:t>
      </w:r>
    </w:p>
    <w:p>
      <w:r>
        <w:t xml:space="preserve">Bezeichnung</w:t>
      </w:r>
    </w:p>
    <w:p>
      <w:r>
        <w:t xml:space="preserve">Ä 1</w:t>
      </w:r>
    </w:p>
    <w:p>
      <w:r>
        <w:t xml:space="preserve">Ärztin/Arzt mit entsprechender Tätigkeit</w:t>
      </w:r>
    </w:p>
    <w:p>
      <w:r>
        <w:t xml:space="preserve">Ä 2</w:t>
      </w:r>
    </w:p>
    <w:p>
      <w:r>
        <w:t xml:space="preserve">Fachärztin/Facharzt mit entsprechender Tätigkeit</w:t>
      </w:r>
    </w:p>
    <w:p>
      <w:r>
        <w:t xml:space="preserve">Ä 3</w:t>
      </w:r>
    </w:p>
    <w:p>
      <w:r>
        <w:t xml:space="preserve">Oberärztin/Oberarzt</w:t>
      </w:r>
    </w:p>
    <w:p>
      <w:r>
        <w:t xml:space="preserve">Oberarzt ist derjenige Arzt, dem die medizinische Verantwortung für Teil- oder Funktionsbereiche der Klinik beziehungsweise Abteilung vom Arbeitgeber übertragen worden ist.</w:t>
      </w:r>
    </w:p>
    <w:p>
      <w:r>
        <w:t xml:space="preserve">Oberarzt ist ferner der Facharzt in einer durch den Arbeitgeber übertragenen Spezialfunktion, für die dieser eine erfolgreich abgeschlossene Schwerpunkt- oder Zusatzweiterbildung nach der Weiterbildungsordnung fordert.</w:t>
      </w:r>
    </w:p>
    <w:p>
      <w:r>
        <w:t xml:space="preserve">Ä 4</w:t>
      </w:r>
    </w:p>
    <w:p>
      <w:r>
        <w:t xml:space="preserve">Fachärztin/Facharzt, der/dem die ständige Vertretung des leitenden Arztes (Chefarzt) vom Arbeitgeber übertragen worden ist.</w:t>
      </w:r>
    </w:p>
    <w:p>
      <w:r>
        <w:t xml:space="preserve">(Protokollerklärung: Ständiger Vertreter ist nur der Arzt, der den leitenden Arzt in der Gesamtheit seiner Dienstaufgaben vertritt. Das Tätigkeitsmerkmal kann daher innerhalb einer Klinik nur von einer Ärztin/einem Arzt erfüllt werden.)“</w:t>
      </w:r>
    </w:p>
    <w:p>
      <w:r>
        <w:t xml:space="preserve">Nr. 8. Zu § 13</w:t>
      </w:r>
    </w:p>
    <w:p>
      <w:r>
        <w:t xml:space="preserve">§ 13 gilt in folgender Fassung:</w:t>
      </w:r>
    </w:p>
    <w:p>
      <w:r>
        <w:t xml:space="preserve">“§ 13</w:t>
      </w:r>
    </w:p>
    <w:p>
      <w:r>
        <w:t xml:space="preserve">Zulage bei Überschreiten der Mindestweiterbildungszeit</w:t>
      </w:r>
    </w:p>
    <w:p>
      <w:r>
        <w:t xml:space="preserve">Ärztinnen/Ärzte der Entgeltgruppe Ä 1 in der Weiterbildung zur Fachärztin beziehungsweise zum Facharzt erhalten eine monatliche Zulage in Höhe der Differenz zur Stufe 1 der Entgeltgruppe Ä 2, sobald sie die Mindestweiterbildungszeit nach der Weiterbildungsordnung um mehr als ein Jahr überschritten haben, ohne dass sie dies zu vertreten haben.“</w:t>
      </w:r>
    </w:p>
    <w:p>
      <w:r>
        <w:t xml:space="preserve">Nr. 9. Zu § 14 – Vorübergehende Übertragung einer höherwertigen Tätigkeit –</w:t>
      </w:r>
    </w:p>
    <w:p>
      <w:r>
        <w:t xml:space="preserve">§ 14 gilt in folgender Fassung:</w:t>
      </w:r>
    </w:p>
    <w:p>
      <w:r>
        <w:t xml:space="preserve">“§ 14</w:t>
      </w:r>
    </w:p>
    <w:p>
      <w:r>
        <w:t xml:space="preserve">Vorübergehende Übertragung einer höherwertigen Tätigkeit</w:t>
      </w:r>
    </w:p>
    <w:p>
      <w:r>
        <w:t xml:space="preserve">(1) Wird Beschäftigten vorübergehend eine andere Tätigkeit übertragen, die den Tätigkeitsmerkmalen einer höheren Entgeltgruppe entspricht, und wurde diese Tätigkeit mindestens einen Monat ausgeübt, erhalten sie für die Dauer der Ausübung eine persönliche Zulage rückwirkend ab dem ersten Tag der Übertragung der Tätigkeit.</w:t>
      </w:r>
    </w:p>
    <w:p>
      <w:r>
        <w:t xml:space="preserve">(2) Die persönliche Zulage bemisst sich bei Beschäftigten, die in eine der Entgeltgruppen Ä 1 bis Ä 3 eingruppiert sind, aus dem Unterschiedsbetrag zu dem Tabellenentgelt, das sich bei dauerhafter Übertragung ergeben hätte.“</w:t>
      </w:r>
    </w:p>
    <w:p>
      <w:r>
        <w:t xml:space="preserve">Nr. 10. Zu § 15 – Tabellenentgelt –</w:t>
      </w:r>
    </w:p>
    <w:p>
      <w:r>
        <w:t xml:space="preserve">§ 15 gilt in folgender Fassung:</w:t>
      </w:r>
    </w:p>
    <w:p>
      <w:r>
        <w:t xml:space="preserve">“§ 15</w:t>
      </w:r>
    </w:p>
    <w:p>
      <w:r>
        <w:t xml:space="preserve">Tabellenentgelt</w:t>
      </w:r>
    </w:p>
    <w:p>
      <w:r>
        <w:t xml:space="preserve">(1) Die/Der Beschäftigte erhält monatlich ein Tabellenentgelt.</w:t>
      </w:r>
    </w:p>
    <w:p>
      <w:r>
        <w:t xml:space="preserve">Die Höhe bestimmt sich nach der Entgeltgruppe, in die sie/er eingruppiert ist, und nach der für sie/ihn geltenden Stufe.</w:t>
      </w:r>
    </w:p>
    <w:p>
      <w:r>
        <w:t xml:space="preserve">Protokollerklärung zu § 15 Absatz 1:</w:t>
      </w:r>
    </w:p>
    <w:p>
      <w:r>
        <w:t xml:space="preserve">(aufgehoben)</w:t>
      </w:r>
    </w:p>
    <w:p>
      <w:r>
        <w:t xml:space="preserve">(2) Die Höhe der Tabellenentgelte ist in Anlage D festgelegt.“</w:t>
      </w:r>
    </w:p>
    <w:p>
      <w:r>
        <w:t xml:space="preserve">Nr. 11. Zu § 16 – Stufen der Entgelttabelle –</w:t>
      </w:r>
    </w:p>
    <w:p>
      <w:r>
        <w:t xml:space="preserve">§ 16 gilt in folgender Fassung:</w:t>
      </w:r>
    </w:p>
    <w:p>
      <w:r>
        <w:t xml:space="preserve">“§ 16</w:t>
      </w:r>
    </w:p>
    <w:p>
      <w:r>
        <w:t xml:space="preserve">Stufen der Entgelttabelle</w:t>
      </w:r>
    </w:p>
    <w:p>
      <w:r>
        <w:t xml:space="preserve">(1) Die Entgeltgruppe Ä 1 umfasst fünf Stufen; die Entgeltgruppen Ä 2 bis Ä 4 umfassen drei Stufen. Die Beschäftigten erreichen die jeweils nächste Stufe nach den Zeiten ärztlicher (Ä 1), fachärztlicher (Ä 2), oberärztlicher (Ä 3) Tätigkeit beziehungsweise der Tätigkeit als ständiger Vertreter des leitenden Arztes (Chefarztes), die in den Tabellen (Anlage D) angegeben sind.</w:t>
      </w:r>
    </w:p>
    <w:p>
      <w:r>
        <w:t xml:space="preserve">(2) Für die Anrechnung von Vorzeiten ärztlicher Tätigkeit gilt Folgendes: Bei der Einstellung werden Zeiten mit einschlägiger Berufserfahrung als förderliche Zeiten für die Stufenzuordnung berücksichtigt. Zeiten von Berufserfahrung aus nichtärztlicher Tätigkeit können berücksichtigt werden.</w:t>
      </w:r>
    </w:p>
    <w:p>
      <w:r>
        <w:t xml:space="preserve">(3) Zur regionalen Differenzierung, zur Deckung des Personalbedarfs, zur Bindung von qualifizierten Fachkräften oder zum Ausgleich höherer Lebenshaltungskosten kann abweichend von der tarifvertraglichen Einstufung ein bis zu zwei Stufen höheres Entgelt ganz oder teilweise vorweg gewährt werden. Beschäftigte mit einem Entgelt der Endstufe können bis zu 20 v.H. der Stufe 2 zusätzlich erhalten. Die Zulage kann befristet werden. Sie ist auch als befristete Zulage widerruflich.</w:t>
      </w:r>
    </w:p>
    <w:p>
      <w:r>
        <w:t xml:space="preserve">(4) Bei Wissenschaftlerinnen und Wissenschaftlern tritt bei Anwendung des Absatzes 3 an die Stelle des Wertes von 20 v.H. der Wert 25 v.H. Dies gilt jedoch nur, wenn</w:t>
      </w:r>
    </w:p>
    <w:p>
      <w:r>
        <w:t xml:space="preserve">a) sie aufgrund ihrer fachlichen Qualifikation besondere projektbezogene Anforderungen erfüllen oder</w:t>
      </w:r>
    </w:p>
    <w:p>
      <w:r>
        <w:t xml:space="preserve">b) eine besondere Personalbindung beziehungsweise Personalgewinnung erreicht werden soll.“</w:t>
      </w:r>
    </w:p>
    <w:p>
      <w:r>
        <w:t xml:space="preserve">Nr. 12. Zu § 17 – Allgemeine Regelungen zu den Stufen –</w:t>
      </w:r>
    </w:p>
    <w:p>
      <w:r>
        <w:t xml:space="preserve">§ 17 gilt in folgender Fassung:</w:t>
      </w:r>
    </w:p>
    <w:p>
      <w:r>
        <w:t xml:space="preserve">“§ 17</w:t>
      </w:r>
    </w:p>
    <w:p>
      <w:r>
        <w:t xml:space="preserve">Allgemeine Regelungen zu den Stufen</w:t>
      </w:r>
    </w:p>
    <w:p>
      <w:r>
        <w:t xml:space="preserve">(1) Die Beschäftigten erhalten das Tabellenentgelt nach der neuen Stufe vom Beginn des Monats an, in dem die nächste Stufe erreicht wird.</w:t>
      </w:r>
    </w:p>
    <w:p>
      <w:r>
        <w:t xml:space="preserve">(2) Den Zeiten einer ununterbrochenen Tätigkeit im Sinne des § 16 Absatz 1 Satz 2 stehen gleich:</w:t>
      </w:r>
    </w:p>
    <w:p>
      <w:r>
        <w:t xml:space="preserve">a) Schutzfristen nach dem Mutterschutzgesetz,</w:t>
      </w:r>
    </w:p>
    <w:p>
      <w:r>
        <w:t xml:space="preserve">b) Zeiten einer Arbeitsunfähigkeit nach § 22 bis zu 39 Wochen,</w:t>
      </w:r>
    </w:p>
    <w:p>
      <w:r>
        <w:t xml:space="preserve">c) Zeiten eines bezahlten Urlaubs,</w:t>
      </w:r>
    </w:p>
    <w:p>
      <w:r>
        <w:t xml:space="preserve">d) Zeiten eines Sonderurlaubs, bei denen der Arbeitgeber vor dem Antritt schriftlich ein dienstliches beziehungsweise betriebliches Interesse anerkannt hat,</w:t>
      </w:r>
    </w:p>
    <w:p>
      <w:r>
        <w:t xml:space="preserve">e) Zeiten einer sonstigen Unterbrechung von weniger als einem Monat im Kalenderjahr,</w:t>
      </w:r>
    </w:p>
    <w:p>
      <w:r>
        <w:t xml:space="preserve">f) Zeiten der vorübergehenden Übertragung einer höherwertigen Tätigkeit.</w:t>
      </w:r>
    </w:p>
    <w:p>
      <w:r>
        <w:t xml:space="preserve">Zeiten der Unterbrechung bis zu einer Dauer von jeweils drei Jahren, die nicht von Satz 1 erfasst werden, und Elternzeit sind unschädlich; sie werden aber nicht auf die Stufenlaufzeit angerechnet. Zeiten, in denen eine Beschäftigung mit einer kürzeren als der regelmäßigen wöchentlichen Arbeitszeit eines entsprechenden Vollbeschäftigten erfolgt ist, werden voll angerechnet.“</w:t>
      </w:r>
    </w:p>
    <w:p>
      <w:r>
        <w:t xml:space="preserve">Nr. 13. Zu § 18</w:t>
      </w:r>
    </w:p>
    <w:p>
      <w:r>
        <w:t xml:space="preserve">§ 18 gilt in folgender Fassung:</w:t>
      </w:r>
    </w:p>
    <w:p>
      <w:r>
        <w:t xml:space="preserve">“§ 18</w:t>
      </w:r>
    </w:p>
    <w:p>
      <w:r>
        <w:t xml:space="preserve">Besondere Zahlung im Drittmittelbereich</w:t>
      </w:r>
    </w:p>
    <w:p>
      <w:r>
        <w:t xml:space="preserve">Die Beschäftigten im Drittmittelbereich können vom Arbeitgeber eine Sonderzahlung erhalten. Voraussetzung ist, dass nach Deckung der Einzel- und Gemeinkosten des Drittmittelvorhabens entsprechende Erträge aus Mitteln privater Dritter verbleiben. Die Beschäftigten müssen zudem durch besondere Leistungen bei der Einwerbung der Mittel oder der Erstellung einer für die eingeworbenen Mittel zu erbringenden beziehungsweise erbrachten Leistung beigetragen haben. Die Sonderzahlung kann bis zu 10 v.H. ihres Jahrestabellenentgelts betragen. Sie ist nicht zusatzversorgungspflichtig.“</w:t>
      </w:r>
    </w:p>
    <w:p>
      <w:r>
        <w:t xml:space="preserve">Nr. 14. Zu § 19 – Erschwerniszuschläge –</w:t>
      </w:r>
    </w:p>
    <w:p>
      <w:r>
        <w:t xml:space="preserve">§ 19 gilt nicht.</w:t>
      </w:r>
    </w:p>
    <w:p>
      <w:r>
        <w:t xml:space="preserve">Nr. 15. Zu § 20 – Jahressonderzahlungen –</w:t>
      </w:r>
    </w:p>
    <w:p>
      <w:r>
        <w:t xml:space="preserve">§ 20 gilt nicht.</w:t>
      </w:r>
    </w:p>
    <w:p>
      <w:r>
        <w:t xml:space="preserve">Nr. 16. Zu § 24 – Berechnung und Auszahlung des Entgelts –</w:t>
      </w:r>
    </w:p>
    <w:p>
      <w:r>
        <w:t xml:space="preserve">§ 24 Absatz 6 gilt in folgender Fassung:</w:t>
      </w:r>
    </w:p>
    <w:p>
      <w:r>
        <w:t xml:space="preserve">“(6) Durch Nebenabrede zum Arbeitsvertrag können neben dem Tabellenentgelt zustehende Entgeltbestandteile (zum Beispiel Zeitzuschläge, Erschwerniszuschläge, Überstundenentgelte) pauschaliert werden. Die Nebenabrede ist mit einer Frist von drei Monaten jeweils zum Ende eines Kalenderhalbjahres kündbar.“</w:t>
      </w:r>
    </w:p>
    <w:p>
      <w:r>
        <w:t xml:space="preserve">Nr. 17. Zu § 27 – Zusatzurlaub –</w:t>
      </w:r>
    </w:p>
    <w:p>
      <w:r>
        <w:t xml:space="preserve">§ 27 erhält folgenden Absatz 6:</w:t>
      </w:r>
    </w:p>
    <w:p>
      <w:r>
        <w:t xml:space="preserve">“(6) Beschäftigte erhalten Zusatzurlaub im Kalenderjahr bei einer Leistung im Kalenderjahr von mindestens</w:t>
      </w:r>
    </w:p>
    <w:p>
      <w:r>
        <w:t xml:space="preserve">150 Nachtarbeitsstunden</w:t>
      </w:r>
    </w:p>
    <w:p>
      <w:r>
        <w:t xml:space="preserve">1 Arbeitstag</w:t>
      </w:r>
    </w:p>
    <w:p>
      <w:r>
        <w:t xml:space="preserve">300 Nachtarbeitsstunden</w:t>
      </w:r>
    </w:p>
    <w:p>
      <w:r>
        <w:t xml:space="preserve">2 Arbeitstage</w:t>
      </w:r>
    </w:p>
    <w:p>
      <w:r>
        <w:t xml:space="preserve">450 Nachtarbeitsstunden</w:t>
      </w:r>
    </w:p>
    <w:p>
      <w:r>
        <w:t xml:space="preserve">3 Arbeitstage</w:t>
      </w:r>
    </w:p>
    <w:p>
      <w:r>
        <w:t xml:space="preserve">600 Nachtarbeitsstunden</w:t>
      </w:r>
    </w:p>
    <w:p>
      <w:r>
        <w:t xml:space="preserve">4 Arbeitstage.</w:t>
      </w:r>
    </w:p>
    <w:p>
      <w:r>
        <w:t xml:space="preserve">Bei Teilzeitkräften ist die Zahl der in Satz 1 geforderten Nachtarbeitsstunden entsprechend dem Verhältnis der vereinbarten durchschnittlichen regelmäßigen Arbeitszeit zur regelmäßigen Arbeitszeit von entsprechenden Vollzeitkräften zu kürzen. Nachtarbeitsstunden, die in Zeiträumen geleistet werden, für die Zusatzurlaub für Wechselschicht- oder Schichtarbeit zusteht, bleiben unberücksichtigt. Bei Anwendung des Satzes 1 werden nur die im Rahmen der regelmäßigen Arbeitszeit in der Zeit zwischen 21 Uhr und 6 Uhr dienstplanmäßig beziehungsweise betriebsüblich geleisteten Nachtarbeitsstunden berücksichtigt. Absatz 4 und Absatz 5 finden Anwendung.</w:t>
      </w:r>
    </w:p>
    <w:p>
      <w:r>
        <w:t xml:space="preserve">Protokollerklärung zu Absatz 6:</w:t>
      </w:r>
    </w:p>
    <w:p>
      <w:r>
        <w:t xml:space="preserve">Der Anspruch auf Zusatzurlaub bemisst sich nach den abgeleisteten Nachtarbeitsstunden und entsteht im laufenden Jahr, sobald die Voraussetzungen nach Absatz 6 Satz 1 erfüllt sind.“</w:t>
      </w:r>
    </w:p>
    <w:p>
      <w:r>
        <w:t xml:space="preserve">Nr. 18. Zu § 29 – Arbeitsbefreiung –</w:t>
      </w:r>
    </w:p>
    <w:p>
      <w:r>
        <w:t xml:space="preserve">§ 29 Absatz 6 gilt in folgender Fassung, ergänzt um Absatz 7:</w:t>
      </w:r>
    </w:p>
    <w:p>
      <w:r>
        <w:t xml:space="preserve">“(6) Zur Teilnahme an Arztkongressen, Fachtagungen und vergleichbaren Veranstaltungen ist den Beschäftigten Arbeitsbefreiung bis zu drei Arbeitstage im Kalenderjahr zu gewähren. Die Arbeitsbefreiung wird auf einen Anspruch nach den Weiterbildungsgesetzen der Länder angerechnet. Bei Personalkostenerstattung durch Dritte erfolgt eine Freistellung für bis zu fünf Tage.</w:t>
      </w:r>
    </w:p>
    <w:p>
      <w:r>
        <w:t xml:space="preserve">(7) In den Fällen der Absätze 1 bis 6 werden das Tabellenentgelt sowie die sonstigen Entgeltbestandteile, die in Monatsbeträgen festgelegt sind, weitergezahlt.“</w:t>
      </w:r>
    </w:p>
    <w:p>
      <w:r>
        <w:t xml:space="preserve">Nr. 19. Zu § 30 – Befristete Arbeitsverträge –</w:t>
      </w:r>
    </w:p>
    <w:p>
      <w:r>
        <w:t xml:space="preserve">1. § 30 Absatz 2 gilt in folgender Fassung:</w:t>
      </w:r>
    </w:p>
    <w:p>
      <w:r>
        <w:t xml:space="preserve">“(2) Kalendermäßig befristete Arbeitsverträge mit sachlichem Grund sind nur zulässig, wenn die Dauer des einzelnen Vertrages sieben Jahre nicht übersteigt; weitergehende Regelungen im Sinne von § 23 Teilzeit- und Befristungsgesetz bleiben unberührt. Beschäftigte mit einem Arbeitsvertrag nach Satz 1 sind bei der Besetzung von Dauerarbeitsplätzen bevorzugt zu berücksichtigen, wenn die sachlichen und persönlichen Voraussetzungen erfüllt sind.“</w:t>
      </w:r>
    </w:p>
    <w:p>
      <w:r>
        <w:t xml:space="preserve">2. § 30 erhält folgenden Absatz 7:</w:t>
      </w:r>
    </w:p>
    <w:p>
      <w:r>
        <w:t xml:space="preserve">“(7) Beim Abschluss von befristeten Arbeitsverträgen mit besonders kurzen Vertragslaufzeiten ist auch das Interesse der Beschäftigten an einer notwendigen Planungssicherheit zu berücksichtigen. Bei befristeten Beschäftigungen nach dem Hochschulrahmengesetz beziehungsweise einer gesetzlichen Nachfolgeregelung mit dem Zweck der Weiterbildung zur Fachärztin beziehungsweise zum Facharzt soll der erste Vertrag möglichst für eine Laufzeit von nicht weniger als zwei Jahren und der weitere Vertrag bis zum Ende der Mindestweiterbildungszeit geschlossen werden. Sachliche Gründe können eine kürzere Vertragslaufzeit erfordern.“</w:t>
      </w:r>
    </w:p>
    <w:p>
      <w:r>
        <w:t xml:space="preserve">Niederschriftserklärung zu § 40 Nr. 8 und § 41 Nr. 19 (betreffend § 30 TV-L):</w:t>
      </w:r>
    </w:p>
    <w:p>
      <w:r>
        <w:t xml:space="preserve">Die Tarifvertragsparteien erwarten eine verantwortungsbewusste Handhabung der Befristungen im Wissenschaftsbereich.</w:t>
      </w:r>
    </w:p>
    <w:p>
      <w:r>
        <w:t xml:space="preserve">Nr. 20. Zu § 31 – Führung auf Probe –</w:t>
      </w:r>
    </w:p>
    <w:p>
      <w:r>
        <w:t xml:space="preserve">§ 31 gilt in folgender Fassung:</w:t>
      </w:r>
    </w:p>
    <w:p>
      <w:r>
        <w:t xml:space="preserve">“§ 31</w:t>
      </w:r>
    </w:p>
    <w:p>
      <w:r>
        <w:t xml:space="preserve">Führung auf Probe</w:t>
      </w:r>
    </w:p>
    <w:p>
      <w:r>
        <w:t xml:space="preserve">(1) Führungspositionen können als befristetes Arbeitsverhältnis bis zur Gesamtdauer von zwei Jahren vereinbart werden. Innerhalb dieser Gesamtdauer ist eine höchstens zweimalige Verlängerung des Arbeitsvertrages zulässig. Die beiderseitigen Kündigungsrechte bleiben unberührt.</w:t>
      </w:r>
    </w:p>
    <w:p>
      <w:r>
        <w:t xml:space="preserve">(2) Führungspositionen sind die ab Entgeltgruppe Ä 3 auszuübenden Tätigkeiten mit Weisungsbefugnis.</w:t>
      </w:r>
    </w:p>
    <w:p>
      <w:r>
        <w:t xml:space="preserve">(3) Besteht bereits ein Arbeitsverhältnis mit demselben Arbeitgeber, kann der/dem Beschäftigten vorübergehend eine Führungsposition bis zu der in Absatz 1 genannten Gesamtdauer übertragen werden. Der/Dem Beschäftigten wird für die Dauer der Übertragung eine Zulage in Höhe des Unterschiedsbetrags zu dem Tabellenentgelt, das sich bei dauerhafter Übertragung ergeben hätte, gewährt. Nach Fristablauf endet die Erprobung. Bei Bewährung wird die Führungsfunktion auf Dauer übertragen; ansonsten erhält die/der Beschäftigte eine der bisherigen Eingruppierung entsprechende Tätigkeit.“</w:t>
      </w:r>
    </w:p>
    <w:p>
      <w:r>
        <w:t xml:space="preserve">Nr. 21. Zu § 32 – Führung auf Zeit –</w:t>
      </w:r>
    </w:p>
    <w:p>
      <w:r>
        <w:t xml:space="preserve">§ 32 gilt in folgender Fassung:</w:t>
      </w:r>
    </w:p>
    <w:p>
      <w:r>
        <w:t xml:space="preserve">“§ 32</w:t>
      </w:r>
    </w:p>
    <w:p>
      <w:r>
        <w:t xml:space="preserve">Führung auf Zeit</w:t>
      </w:r>
    </w:p>
    <w:p>
      <w:r>
        <w:t xml:space="preserve">(1) Führungspositionen können als befristetes Arbeitsverhältnis bis zur Dauer von vier Jahren vereinbart werden. Folgende Verlängerungen des Arbeitsvertrages sind zulässig:</w:t>
      </w:r>
    </w:p>
    <w:p>
      <w:r>
        <w:t xml:space="preserve">a) in der Entgeltgruppe Ä 3 eine höchstens zweimalige Verlängerung bis zu einer Gesamtdauer von acht Jahren,</w:t>
      </w:r>
    </w:p>
    <w:p>
      <w:r>
        <w:t xml:space="preserve">b) in der Entgeltgruppe Ä 4 eine höchstens dreimalige Verlängerung bis zu einer Gesamtdauer von zwölf Jahren.</w:t>
      </w:r>
    </w:p>
    <w:p>
      <w:r>
        <w:t xml:space="preserve">Zeiten in einer Führungsposition nach Buchstabe a bei demselben Arbeitgeber können auf die Gesamtdauer nach Buchstabe b zur Hälfte angerechnet werden. Die allgemeinen Vorschriften über die Probezeit (§ 2 Absatz 4) und die beiderseitigen Kündigungsrechte bleiben unberührt.</w:t>
      </w:r>
    </w:p>
    <w:p>
      <w:r>
        <w:t xml:space="preserve">(2) Führungspositionen sind die ab Entgeltgruppe Ä 3 auszuübenden Tätigkeiten mit Weisungsbefugnis.</w:t>
      </w:r>
    </w:p>
    <w:p>
      <w:r>
        <w:t xml:space="preserve">(3) Besteht bereits ein Arbeitsverhältnis mit demselben Arbeitgeber, kann der/dem Beschäftigten vorübergehend eine Führungsposition bis zu den in Absatz 1 genannten Fristen übertragen werden. Der/Dem Beschäftigten wird für die Dauer der Übertragung eine Zulage in Höhe des Unterschiedsbetrags zu dem Tabellenentgelt, das sich bei dauerhafter Übertragung ergeben hätte, gewährt. Nach Fristablauf erhält die/der Beschäftigte eine der bisherigen Eingruppierung entsprechende Tätigkeit.“</w:t>
      </w:r>
    </w:p>
    <w:p>
      <w:r>
        <w:t xml:space="preserve">Nr. 22. Zu § 33 – Beendigung des Arbeitsverhältnisses ohne Kündigung –</w:t>
      </w:r>
    </w:p>
    <w:p>
      <w:r>
        <w:t xml:space="preserve">1. § 33 Absatz 4 gilt in folgender Fassung:</w:t>
      </w:r>
    </w:p>
    <w:p>
      <w:r>
        <w:t xml:space="preserve">“(4) Verzögert die/der Beschäftigte schuldhaft den Rentenantrag oder bezieht sie/er Altersrente nach § 236, § 236a oder § 236b SGB VI oder ist sie/er nicht in der gesetzlichen Rentenversicherung oder in einem berufsständischen Versorgungswerk versichert, so tritt an die Stelle des Rentenbescheids das Gutachten einer Amtsärztin/eines Amtsarztes oder einer/eines nach § 3 Absatz 5 Satz 2 bestimmten Ärztin/Arztes. Das Arbeitsverhältnis endet in diesem Fall mit Ablauf des Monats, in dem der/dem Beschäftigten das Gutachten bekannt gegeben worden ist.“</w:t>
      </w:r>
    </w:p>
    <w:p>
      <w:r>
        <w:t xml:space="preserve">2. Dem § 33 wird folgende Protokollerklärung angefügt:</w:t>
      </w:r>
    </w:p>
    <w:p>
      <w:r>
        <w:t xml:space="preserve">“Protokollerklärung zu § 33 Absatz 2 und 3:</w:t>
      </w:r>
    </w:p>
    <w:p>
      <w:r>
        <w:t xml:space="preserve">Als Rentenversicherungsträger im Sinne der Absätze 2 und 3 gelten auch berufsständische Versorgungswerke.“</w:t>
      </w:r>
    </w:p>
    <w:p>
      <w:r>
        <w:t xml:space="preserve">Nr. 23. Zu § 35 – Zeugnis –</w:t>
      </w:r>
    </w:p>
    <w:p>
      <w:r>
        <w:t xml:space="preserve">Dem § 35 wird folgender Absatz 5 angefügt:</w:t>
      </w:r>
    </w:p>
    <w:p>
      <w:r>
        <w:t xml:space="preserve">“(5) Das Zeugnis wird vom leitenden Arzt und vom Arbeitgeber ausgestellt.“</w:t>
      </w:r>
    </w:p>
    <w:p>
      <w:r>
        <w:t xml:space="preserve">Nr. 24. Zu § 39 – In-Kraft-Treten, Laufzeit –</w:t>
      </w:r>
    </w:p>
    <w:p>
      <w:r>
        <w:t xml:space="preserve">§ 39 Absatz 3 gilt in folgender Fassung:</w:t>
      </w:r>
    </w:p>
    <w:p>
      <w:r>
        <w:t xml:space="preserve">“(3) Abweichend von Absatz 2 kann von jeder Tarifvertragspartei auf landesbezirklicher Ebene schriftlich gekündigt werden</w:t>
      </w:r>
    </w:p>
    <w:p>
      <w:r>
        <w:t xml:space="preserve">a) § 6 Absatz 1 mit einer Frist von einem Monat zum Schluss eines Kalendermonats,</w:t>
      </w:r>
    </w:p>
    <w:p>
      <w:r>
        <w:t xml:space="preserve">b) § 23 Absatz 2 mit einer Frist von einem Monat zum Schluss eines Kalendermonats.“</w:t>
      </w:r>
    </w:p>
    <w:p>
      <w:r>
        <w:t xml:space="preserve">Nr. 25. Zu § 12 TVÜ-Länder</w:t>
      </w:r>
    </w:p>
    <w:p>
      <w:r>
        <w:t xml:space="preserve">(1) Abweichend von § 12 Absatz 7 TVÜ-Länder erhalten übergeleitete Fachärztinnen und Fachärzte, die</w:t>
      </w:r>
    </w:p>
    <w:p>
      <w:r>
        <w:t xml:space="preserve">– am 31. Oktober 2006 Grundvergütung aus den Lebensaltersstufen 45 oder 47 der Vergütungsgruppe I a BAT/BAT-O beziehen und</w:t>
      </w:r>
    </w:p>
    <w:p>
      <w:r>
        <w:t xml:space="preserve">– ab 1. November 2006 in die Entgeltgruppe Ä 2 eingruppiert sind,</w:t>
      </w:r>
    </w:p>
    <w:p>
      <w:r>
        <w:t xml:space="preserve">ab November 2006 einen nicht dynamischen Strukturausgleich zusätzlich zu ihrem monatlichen Entgelt. Der Strukturausgleich beträgt monatlich bei Anspruch auf Grundvergütung am 31. Oktober 2006 aus</w:t>
      </w:r>
    </w:p>
    <w:p>
      <w:r>
        <w:t xml:space="preserve">Lebensaltersstufe</w:t>
      </w:r>
    </w:p>
    <w:p>
      <w:r>
        <w:t xml:space="preserve">Tarifgebiet West</w:t>
      </w:r>
    </w:p>
    <w:p>
      <w:r>
        <w:t xml:space="preserve">Tarifgebiet Ost</w:t>
      </w:r>
    </w:p>
    <w:p>
      <w:r>
        <w:t xml:space="preserve">45</w:t>
      </w:r>
    </w:p>
    <w:p>
      <w:r>
        <w:t xml:space="preserve">90,00 Euro</w:t>
      </w:r>
    </w:p>
    <w:p>
      <w:r>
        <w:t xml:space="preserve">83,25 Euro</w:t>
      </w:r>
    </w:p>
    <w:p>
      <w:r>
        <w:t xml:space="preserve">47</w:t>
      </w:r>
    </w:p>
    <w:p>
      <w:r>
        <w:t xml:space="preserve">190,00 Euro</w:t>
      </w:r>
    </w:p>
    <w:p>
      <w:r>
        <w:t xml:space="preserve">175,75 Euro</w:t>
      </w:r>
    </w:p>
    <w:p>
      <w:r>
        <w:t xml:space="preserve">(2) Bei Höhergruppierungen und allgemeinen Entgelterhöhungen wird der Unterschiedsbetrag zum bisherigen Entgelt auf den Strukturausgleich angerechnet. Dasselbe gilt für die Zahlung von Zulagen nach §§ 14 und 16 Absatz 3 und 4. Im Tarifgebiet Ost wird auch die Angleichung zum 1. Januar 2010 angerechnet.</w:t>
      </w:r>
    </w:p>
    <w:p>
      <w:r>
        <w:rPr>
          <w:color w:val="555555"/>
          <w:sz w:val="17"/>
        </w:rPr>
        <w:t xml:space="preserve">Zitiervorschlag: § 41 TV-L (Bayern)</w:t>
      </w:r>
    </w:p>
    <w:p>
      <w:r>
        <w:rPr>
          <w:color w:val="555555"/>
          <w:sz w:val="17"/>
        </w:rPr>
        <w:t xml:space="preserve">Quelle: bayernrecht, abgerufen 05.09.2026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https://recht.nulegal.eu/gesetze/TV-L/41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