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TV-L (Bayern) — Sonderregelungen für Beschäftigte an Hochschulen und Forschungseinrichtungen</w:t>
      </w:r>
    </w:p>
    <w:p>
      <w:r>
        <w:rPr>
          <w:color w:val="555555"/>
          <w:sz w:val="18"/>
        </w:rPr>
        <w:t xml:space="preserve">Tarifvertrag für den öffentlichen Dienst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Nr. 1. Zu § 1 – Geltungsbereich –</w:t>
      </w:r>
    </w:p>
    <w:p>
      <w:r>
        <w:t xml:space="preserve">Diese Sonderregelungen gelten für die Beschäftigten der Hochschulen und Forschungseinrichtungen der Länder, soweit nachfolgend nichts anderes bestimmt ist.</w:t>
      </w:r>
    </w:p>
    <w:p>
      <w:r>
        <w:t xml:space="preserve">Niederschriftserklärung zu § 40 Nr. 1 (betreffend § 1 TV-L):</w:t>
      </w:r>
    </w:p>
    <w:p>
      <w:r>
        <w:t xml:space="preserve">Hochschulen im Sinne von § 40 Nr. 1 sind die Hochschulen nach dem jeweiligen Landesrecht.</w:t>
      </w:r>
    </w:p>
    <w:p>
      <w:r>
        <w:t xml:space="preserve">Nr. 2. Zu § 3</w:t>
      </w:r>
    </w:p>
    <w:p>
      <w:r>
        <w:t xml:space="preserve">– Allgemeine Arbeitsbedingungen –</w:t>
      </w:r>
    </w:p>
    <w:p>
      <w:r>
        <w:t xml:space="preserve">1. § 3 Absatz 1 gilt in folgender Fassung:</w:t>
      </w:r>
    </w:p>
    <w:p>
      <w:r>
        <w:t xml:space="preserve">“(1) Die arbeitsvertraglich geschuldete Leistung ist gewissenhaft und ordnungsgemäß in Übereinstimmung mit der Zielsetzung der Einrichtung, insbesondere der spezifischen Aufgaben in Forschung, Lehre und Weiterbildung auszuführen. Die Beschäftigten müssen sich durch ihr gesamtes Verhalten zur freiheitlich demokratischen Grundordnung im Sinne des Grundgesetzes bekennen.“</w:t>
      </w:r>
    </w:p>
    <w:p>
      <w:r>
        <w:t xml:space="preserve">2. § 3 Absatz 4 gilt in folgender Fassung:</w:t>
      </w:r>
    </w:p>
    <w:p>
      <w:r>
        <w:t xml:space="preserve">“(4) Nebentätigkeiten haben die Beschäftigten ihrem Arbeitgeber rechtzeitig vorher schriftlich anzuzeigen. Der Arbeitgeber kann die Nebentätigkeit untersagen oder mit Auflagen versehen, wenn diese geeignet ist, die Erfüllung der arbeitsvertraglichen Pflichten der Beschäftigten oder berechtigte Interessen des Arbeitgebers zu beeinträchtigen. Für Nebentätigkeiten im öffentlichen Dienst kann eine Ablieferungspflicht nach den Bestimmungen, die beim Arbeitgeber gelten, zur Auflage gemacht werden.“</w:t>
      </w:r>
    </w:p>
    <w:p>
      <w:r>
        <w:t xml:space="preserve">3. In § 3 werden folgende Absätze 8 und 9 angefügt:</w:t>
      </w:r>
    </w:p>
    <w:p>
      <w:r>
        <w:t xml:space="preserve">“(8) Der Arbeitgeber hat bei der Wahrnehmung des Direktionsrechts die Grundrechte der Wissenschaftsfreiheit und der Kunstfreiheit sowie das Grundrecht der Gewissensfreiheit zu beachten. Für Konfliktfälle wird eine Ombudsperson oder eine Schlichtungskommission durch die Betriebsparteien bestimmt, die Empfehlungen zur Konfliktlösung aussprechen kann. Gesetzliche Ansprüche bleiben von den Empfehlungen der Schlichtung unberührt.</w:t>
      </w:r>
    </w:p>
    <w:p>
      <w:r>
        <w:t xml:space="preserve">(9) Soweit in § 53 Abs. 2 Hochschulrahmengesetz genannten befristet Beschäftigten Aufgaben übertragen werden, die auch der Vorbereitung einer Promotion oder der Erbringung zusätzlicher wissenschaftlicher Leistungen förderlich sind, soll ihnen im Rahmen ihrer Dienstaufgaben ausreichend Gelegenheit zu eigener wissenschaftlicher Arbeit gegeben werden.“</w:t>
      </w:r>
    </w:p>
    <w:p>
      <w:r>
        <w:t xml:space="preserve">Nr. 3. Zu § 6</w:t>
      </w:r>
    </w:p>
    <w:p>
      <w:r>
        <w:t xml:space="preserve">– Regelmäßige Arbeitszeit –</w:t>
      </w:r>
    </w:p>
    <w:p>
      <w:r>
        <w:t xml:space="preserve">1. § 6 Absatz 2 gilt in folgender Fassung:</w:t>
      </w:r>
    </w:p>
    <w:p>
      <w:r>
        <w:t xml:space="preserve">“(2) Für die Berechnung des Durchschnitts der regelmäßigen wöchentlichen Arbeitszeit ist ein Zeitraum von einem Jahr zugrunde zu legen. Abweichend von Satz 1 kann bei Beschäftigten, die ständig Wechselschicht- oder Schichtarbeit zu leisten haben sowie für die Durchführung so genannter Sabbatjahrmodelle, ein längerer Zeitraum zugrunde gelegt werden.“</w:t>
      </w:r>
    </w:p>
    <w:p>
      <w:r>
        <w:t xml:space="preserve">2. § 6 Absatz 6 gilt in folgender Fassung:</w:t>
      </w:r>
    </w:p>
    <w:p>
      <w:r>
        <w:t xml:space="preserve">“(6) Durch Betriebs-/Dienstvereinbarung kann für bestimmte Beschäftigtengruppen oder Beschäftigtenbereiche ein wöchentlicher Arbeitszeitkorridor von bis zu 48 Stunden eingerichtet werden. Die innerhalb eines Arbeitszeitkorridors geleisteten zusätzlichen Arbeitsstunden werden innerhalb eines Jahres ausgeglichen. § 6 Absatz 2 Satz 2 bleibt unberührt.“</w:t>
      </w:r>
    </w:p>
    <w:p>
      <w:r>
        <w:t xml:space="preserve">3. Es wird folgender Absatz 12 angefügt:</w:t>
      </w:r>
    </w:p>
    <w:p>
      <w:r>
        <w:t xml:space="preserve">“(12) Durch Betriebs-/Dienstvereinbarung kann für bestimmte Beschäftigtengruppen oder Beschäftigtenbereiche vereinbart werden, dass die Verteilung der Arbeitszeit unter Berücksichtigung betrieblicher Belange vom Beschäftigten selbstverantwortlich festgelegt werden kann.“</w:t>
      </w:r>
    </w:p>
    <w:p>
      <w:r>
        <w:t xml:space="preserve">Nr. 4. Zu § 7</w:t>
      </w:r>
    </w:p>
    <w:p>
      <w:r>
        <w:t xml:space="preserve">– Sonderformen der Arbeit –</w:t>
      </w:r>
    </w:p>
    <w:p>
      <w:r>
        <w:t xml:space="preserve">§ 7 Absatz 8 gilt in folgender Fassung:</w:t>
      </w:r>
    </w:p>
    <w:p>
      <w:r>
        <w:t xml:space="preserve">“(8) Abweichend von Absatz 7 sind nur die Arbeitsstunden Überstunden, die</w:t>
      </w:r>
    </w:p>
    <w:p>
      <w:r>
        <w:t xml:space="preserve">a) im Falle der Festlegung eines Arbeitszeitkorridors nach § 6 Absatz 6 über 48 Stunden oder über die vereinbarte Obergrenze hinaus,</w:t>
      </w:r>
    </w:p>
    <w:p>
      <w:r>
        <w:t xml:space="preserve">b) im Falle der Einführung einer täglichen Rahmenzeit nach § 6 Absatz 7 außerhalb der Rahmenzeit,</w:t>
      </w:r>
    </w:p>
    <w:p>
      <w:r>
        <w:t xml:space="preserve">c) im Falle von Wechselschicht- oder Schichtarbeit über die im Schichtplan festgelegten täglichen Arbeitsstunden einschließlich der im Schichtplan vorgesehenen Arbeitsstunden, die bezogen auf die regelmäßige wöchentliche Arbeitszeit im Schichtplanturnus nicht ausgeglichen werden,</w:t>
      </w:r>
    </w:p>
    <w:p>
      <w:r>
        <w:t xml:space="preserve">angeordnet worden sind.“</w:t>
      </w:r>
    </w:p>
    <w:p>
      <w:r>
        <w:t xml:space="preserve">Nr. 5. Zu § 16</w:t>
      </w:r>
    </w:p>
    <w:p>
      <w:r>
        <w:t xml:space="preserve">– Stufen der Entgelttabelle –</w:t>
      </w:r>
    </w:p>
    <w:p>
      <w:r>
        <w:t xml:space="preserve">1. § 16 Absatz 2 gilt in folgender Fassung:</w:t>
      </w:r>
    </w:p>
    <w:p>
      <w:r>
        <w:t xml:space="preserve">“(2) Bei der Einstellung werden die Beschäftigten der Stufe 1 zugeordnet, sofern keine einschlägige Berufserfahrung vorliegt. Verfügen Beschäftigte über eine einschlägige Berufserfahrung von mindestens einem Jahr aus einem vorherigen befristeten oder unbefristeten Arbeitsverhältnis zum selben Arbeitgeber, erfolgt die Stufenzuordnung unter Anrechnung der Zeiten der einschlägigen Berufserfahrung aus diesem vorherigen Arbeitsverhältnis. Ist die einschlägige Berufserfahrung von mindestens einem Jahr in einem Arbeitsverhältnis zu einem anderen Arbeitgeber erworben worden, erfolgt die Einstellung in die Stufe 2, beziehungsweise – bei Einstellung nach dem 31. Januar 2010 und Vorliegen einer einschlägigen Berufserfahrung von mindestens drei Jahren – in Stufe 3. Werden Beschäftigte in den Entgeltgruppen 13 bis 15 eingestellt, gilt ergänzend: Zeiten mit einschlägiger Berufserfahrung an anderen Hochschulen oder außeruniversitären Forschungseinrichtungen werden grundsätzlich anerkannt. Dasselbe gilt für Beschäftigte in den Entgeltgruppen 9a bis 12, wenn sie im Rahmen der Planung, Vorbereitung, Durchführung, Aus- und/oder Bewertung von wissenschaftlichen Vorhaben einen wesentlichen Beitrag leisten. Unabhängig davon kann der Arbeitgeber bei Neueinstellungen zur Deckung des Personalbedarfs Zeiten einer vorherigen beruflichen Tätigkeit ganz oder teilweise für die Stufenzuordnung berücksichtigen, wenn diese Tätigkeit für die vorgesehene Tätigkeit förderlich ist.“</w:t>
      </w:r>
    </w:p>
    <w:p>
      <w:r>
        <w:t xml:space="preserve">1a. § 16 Absatz 2a gilt in folgender Fassung:</w:t>
      </w:r>
    </w:p>
    <w:p>
      <w:r>
        <w:t xml:space="preserve">“(2a) Der Arbeitgeber kann bei Einstellung von Beschäftigten im unmittelbaren Anschluss an ein Arbeitsverhältnis im öffentlichen Dienst (§ 34 Absatz 3 Satz 3 und 4) die beim vorherigen Arbeitgeber nach den Regelungen des TV-L, des TVÜ-Länder oder eines vergleichbaren Tarifvertrages erworbene Stufe bei der Stufenzuordnung ganz oder teilweise berücksichtigen; Absatz 2 Satz 6 bleibt unberührt.“</w:t>
      </w:r>
    </w:p>
    <w:p>
      <w:r>
        <w:t xml:space="preserve">2. § 16 Absatz 5 gilt in folgender Fassung:</w:t>
      </w:r>
    </w:p>
    <w:p>
      <w:r>
        <w:t xml:space="preserve">“(5) Zur regionalen Differenzierung, zur Deckung des Personalbedarfs, zur Bindung von qualifizierten Fachkräften oder zum Ausgleich höherer Lebenshaltungskosten kann Beschäftigten abweichend von der tarifvertraglichen Einstufung ein bis zu zwei Stufen höheres Entgelt ganz oder teilweise vorweg gewährt werden. Beschäftigte mit einem Entgelt der Endstufe können bis zu 20 v.H. der Stufe 2 zusätzlich erhalten. Wissenschaftlerinnen und Wissenschaftler mit einem Entgelt der Endstufe können bis zu 25 v.H. der Stufe 2 zusätzlich erhalten. Dies gilt jedoch nur, wenn</w:t>
      </w:r>
    </w:p>
    <w:p>
      <w:r>
        <w:t xml:space="preserve">a) sie aufgrund ihrer fachlichen Qualifikation besondere projektbezogene Anforderungen erfüllen oder</w:t>
      </w:r>
    </w:p>
    <w:p>
      <w:r>
        <w:t xml:space="preserve">b) eine besondere Personalbindung beziehungsweise Personalgewinnung erreicht werden soll.</w:t>
      </w:r>
    </w:p>
    <w:p>
      <w:r>
        <w:t xml:space="preserve">Die Zulage kann befristet werden. Sie ist auch als befristete Zulage widerruflich.“</w:t>
      </w:r>
    </w:p>
    <w:p>
      <w:r>
        <w:t xml:space="preserve">Nr. 6. Zu § 18</w:t>
      </w:r>
    </w:p>
    <w:p>
      <w:r>
        <w:t xml:space="preserve">§ 18 gilt in folgender Fassung:</w:t>
      </w:r>
    </w:p>
    <w:p>
      <w:r>
        <w:t xml:space="preserve">“§ 18</w:t>
      </w:r>
    </w:p>
    <w:p>
      <w:r>
        <w:t xml:space="preserve">Besondere Zahlungen im Drittmittelbereich, Leistungszulage und -prämie</w:t>
      </w:r>
    </w:p>
    <w:p>
      <w:r>
        <w:t xml:space="preserve">(1) Beschäftigte im Drittmittelbereich können vom Arbeitgeber eine Sonderzahlung erhalten. Voraussetzung ist, dass nach Deckung der Einzel- und Gemeinkosten des Drittmittelvorhabens entsprechende Erträge aus Mitteln privater Dritter verbleiben. Die Beschäftigten müssen zudem durch besondere Leistungen bei der Einwerbung der Mittel oder der Erstellung einer für die eingeworbenen Mittel zu erbringenden beziehungsweise erbrachten Leistung beigetragen haben. Die Sonderzahlung kann bis zu 10 v.H. ihres Jahrestabellenentgelts betragen. Sie ist nicht zusatzversorgungspflichtig.</w:t>
      </w:r>
    </w:p>
    <w:p>
      <w:r>
        <w:t xml:space="preserve">(2) Der Arbeitgeber kann Beschäftigten unabhängig von Absatz 1 eine Leistungszulage zahlen, wenn sie dauerhaft oder projektbezogen besondere Leistungen erbringen. Die Zulage kann befristet werden. Sie ist auch als befristete Zulage widerruflich.</w:t>
      </w:r>
    </w:p>
    <w:p>
      <w:r>
        <w:t xml:space="preserve">(3) Der Arbeitgeber kann Beschäftigten unabhängig von Absatz 1 eine einmalige Leistungsprämie zahlen, wenn sie besondere Leistungen erbracht haben.“</w:t>
      </w:r>
    </w:p>
    <w:p>
      <w:r>
        <w:t xml:space="preserve">Niederschriftserklärung zu § 40 Nr. 6 (betreffend § 18 Absätze 2 und 3 TV-L):</w:t>
      </w:r>
    </w:p>
    <w:p>
      <w:r>
        <w:t xml:space="preserve">a) Die Tarifvertragsparteien stimmen darin überein, dass in der nächsten Tarifrunde weitergehende Regelungen zur dienstlichen beziehungsweise betrieblichen Ausgestaltung geprüft werden, wenn in der Praxis erhebliche Umsetzungsprobleme erkennbar sind.</w:t>
      </w:r>
    </w:p>
    <w:p>
      <w:r>
        <w:t xml:space="preserve">b) Die Gewerkschaften weisen darauf hin, dass etwaige Mittel für Leistungszulagen und Leistungsprämien nach den Absätzen 2 und 3 vom Arbeitgeber aufzubringen sind.</w:t>
      </w:r>
    </w:p>
    <w:p>
      <w:r>
        <w:t xml:space="preserve">Nr. 7. Zu § 26</w:t>
      </w:r>
    </w:p>
    <w:p>
      <w:r>
        <w:t xml:space="preserve">– Erholungsurlaub –</w:t>
      </w:r>
    </w:p>
    <w:p>
      <w:r>
        <w:t xml:space="preserve">§ 26 Absatz 2 gilt in folgender Fassung:</w:t>
      </w:r>
    </w:p>
    <w:p>
      <w:r>
        <w:t xml:space="preserve">“(2) Im Übrigen gilt das Bundesurlaubsgesetz mit folgenden Maßgaben:</w:t>
      </w:r>
    </w:p>
    <w:p>
      <w:r>
        <w:t xml:space="preserve">a) Im Falle der Übertragung muss der Erholungsurlaub bis zum 30. September des folgenden Jahres genommen sein.</w:t>
      </w:r>
    </w:p>
    <w:p>
      <w:r>
        <w:t xml:space="preserve">b) Beginnt oder endet das Arbeitsverhältnis im Laufe eines Jahres, steht als Erholungsurlaub für jeden vollen Monat des Arbeitsverhältnisses ein Zwölftel des Urlaubsanspruchs nach Absatz 1 zu; § 5 Bundesurlaubsgesetz bleibt unberührt.</w:t>
      </w:r>
    </w:p>
    <w:p>
      <w:r>
        <w:t xml:space="preserve">c) Ruht das Arbeitsverhältnis, so vermindert sich die Dauer des Erholungsurlaubs einschließlich eines etwaigen tariflichen Zusatzurlaubs für jeden vollen Kalendermonat um ein Zwölftel.</w:t>
      </w:r>
    </w:p>
    <w:p>
      <w:r>
        <w:t xml:space="preserve">d) Das Entgelt nach Absatz 1 Satz 1 wird zu dem in § 24 genannten Zeitpunkt gezahlt.“</w:t>
      </w:r>
    </w:p>
    <w:p>
      <w:r>
        <w:t xml:space="preserve">Nr. 8. Zu § 30</w:t>
      </w:r>
    </w:p>
    <w:p>
      <w:r>
        <w:t xml:space="preserve">– Befristete Arbeitsverträge –</w:t>
      </w:r>
    </w:p>
    <w:p>
      <w:r>
        <w:t xml:space="preserve">§ 30 Absatz 2 gilt in folgender Fassung:</w:t>
      </w:r>
    </w:p>
    <w:p>
      <w:r>
        <w:t xml:space="preserve">“(2) Kalendermäßig befristete Arbeitsverträge mit sachlichem Grund sind nur zulässig, wenn die Dauer des einzelnen Vertrages sieben Jahre nicht übersteigt; weitergehende Regelungen im Sinne von § 23 Teilzeit- und Befristungsgesetz bleiben unberührt. Beschäftigte mit einem Arbeitsvertrag nach Satz 1 sind bei der Besetzung von Dauerarbeitsplätzen bevorzugt zu berücksichtigen, wenn die sachlichen und persönlichen Voraussetzungen erfüllt sind.“</w:t>
      </w:r>
    </w:p>
    <w:p>
      <w:r>
        <w:t xml:space="preserve">Niederschriftserklärung zu § 40 Nr. 8 (betreffend § 30 TV-L):</w:t>
      </w:r>
    </w:p>
    <w:p>
      <w:r>
        <w:t xml:space="preserve">Die Tarifvertragsparteien werden bis zum 30. September 2007 prüfen, ob und inwieweit aufgrund der erhöhten Mobilitätsanforderungen bei wissenschaftlichen Beschäftigten in Befristungsfällen, die nicht aufgrund des Hochschulrahmengesetzes beziehungsweise der gesetzlichen Nachfolgeregelungen oder im Rahmen einer Vertretungsregelung erfolgen, eine Überbrückungsleistung im Sinne einer Härtefallregelung gezahlt werden kann, wenn im Anschluss an eine befristete Beschäftigung keine zeitnahe Anschlussbeschäftigung erfolgt.</w:t>
      </w:r>
    </w:p>
    <w:p>
      <w:r>
        <w:t xml:space="preserve">Niederschriftserklärung zu § 40 Nr. 8 und § 41 Nr. 19 (betreffend § 30 TV-L):</w:t>
      </w:r>
    </w:p>
    <w:p>
      <w:r>
        <w:t xml:space="preserve">Die Tarifvertragsparteien erwarten eine verantwortungsbewusste Handhabung der Befristungen im Wissenschaftsbereich.</w:t>
      </w:r>
    </w:p>
    <w:p>
      <w:r>
        <w:t xml:space="preserve">Nr. 9. – Künstlerische Lehrkräfte an Kunst- und Musikhochschulen in Baden-Württemberg und Bayern –</w:t>
      </w:r>
    </w:p>
    <w:p>
      <w:r>
        <w:t xml:space="preserve">Für künstlerische Lehrkräfte an Kunst- und Musikhochschulen in Baden-Württemberg und Bayern gelten § 44 Nummern 2 und 3 entsprechend. An die Stelle der Schulferien treten dabei die Semesterferien.</w:t>
      </w:r>
    </w:p>
    <w:p>
      <w:r>
        <w:t xml:space="preserve">Niederschriftserklärung zu § 1 Absatz 3 und § 40:</w:t>
      </w:r>
    </w:p>
    <w:p>
      <w:r>
        <w:t xml:space="preserve">Soweit es vereinbart ist, gilt dieser Tarifvertrag auch an außeruniversitären Forschungseinrichten, die nicht unter den Geltungsbereich des TV-L fallen.</w:t>
      </w:r>
    </w:p>
    <w:p>
      <w:r>
        <w:rPr>
          <w:color w:val="555555"/>
          <w:sz w:val="17"/>
        </w:rPr>
        <w:t xml:space="preserve">Zitiervorschlag: § 40 TV-L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