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TV-L (Bayern) — Begriffsbestimmungen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Sofern auf die Tarifgebiete Ost oder West Bezug genommen wird, gilt Folgendes:</w:t>
      </w:r>
    </w:p>
    <w:p>
      <w:r>
        <w:t xml:space="preserve">a) Die Regelungen für das Tarifgebiet Ost gelten für die Beschäftigen, deren Arbeitsverhältnis in dem in Artikel 3 des Einigungsvertrages genannten Gebiet begründet worden ist und bei denen der Bezug des Arbeitsverhältnisses zu diesem Gebiet fortbesteht.</w:t>
      </w:r>
    </w:p>
    <w:p>
      <w:r>
        <w:t xml:space="preserve">b) Für die übrigen Beschäftigten gelten die Regelungen für das Tarifgebiet West.</w:t>
      </w:r>
    </w:p>
    <w:p>
      <w:r>
        <w:t xml:space="preserve">c) Abweichend von den Buchstaben a und b gelten für Beschäftigte, die in einem Arbeitsverhältnis zum Land Berlin stehen, einheitlich die Regelungen des Tarifgebietes West, soweit nicht ausdrücklich für das Land Berlin etwas anderes bestimmt ist.</w:t>
      </w:r>
    </w:p>
    <w:p>
      <w:r>
        <w:t xml:space="preserve">(2) Sofern auf die Begriffe „Betrieb“, „betrieblich“ oder „Betriebspartei“ Bezug genommen wird, gilt die Regelung für Verwaltungen sowie für Parteien nach dem Personalvertretungsrecht entsprechend; es sei denn, es ist etwas anderes bestimmt.</w:t>
      </w:r>
    </w:p>
    <w:p>
      <w:r>
        <w:t xml:space="preserve">(3) Eine einvernehmliche Dienstvereinbarung liegt nur ohne Entscheidung der Einigungsstelle vor.</w:t>
      </w:r>
    </w:p>
    <w:p>
      <w:r>
        <w:t xml:space="preserve">(4) Leistungsgeminderte Beschäftigte sind Beschäftigte, die ausweislich einer Bescheinigung des beauftragten Arztes (§ 3 Absatz 5) nicht mehr in der Lage sind, auf Dauer die vertraglich geschuldete Arbeitsleistung in vollem Umfang zu erbringen, ohne deswegen zugleich teilweise oder in vollem Umfang erwerbsgemindert im Sinne des SGB VI zu sein.</w:t>
      </w:r>
    </w:p>
    <w:p>
      <w:r>
        <w:t xml:space="preserve">(5) Die Regelungen für Angestellte finden Anwendung auf Beschäftigte, deren Tätigkeit vor dem 1. Januar 2005 der Rentenversicherung der Angestellten unterlegen hätte. Die Regelungen für Arbeiterinnen und Arbeiter finden Anwendung auf Beschäftigte, deren Tätigkeit vor dem 1. Januar 2005 der Rentenversicherung der Arbeiter unterlegen hätte.</w:t>
      </w:r>
    </w:p>
    <w:p>
      <w:r>
        <w:rPr>
          <w:color w:val="555555"/>
          <w:sz w:val="17"/>
        </w:rPr>
        <w:t xml:space="preserve">Zitiervorschlag: § 38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