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TV-L (Bayern) — Beendigung des Arbeitsverhältnisses ohne Kündigung</w:t>
      </w:r>
    </w:p>
    <w:p>
      <w:r>
        <w:rPr>
          <w:color w:val="555555"/>
          <w:sz w:val="18"/>
        </w:rPr>
        <w:t xml:space="preserve">Tarifvertrag für den öffentlichen Dienst der Länder</w:t>
      </w:r>
    </w:p>
    <w:p>
      <w:r>
        <w:rPr>
          <w:color w:val="555555"/>
          <w:sz w:val="18"/>
        </w:rPr>
        <w:t xml:space="preserve">Landesrecht Bayern</w:t>
      </w:r>
    </w:p>
    <w:p>
      <w:r>
        <w:rPr>
          <w:color w:val="555555"/>
          <w:sz w:val="18"/>
        </w:rPr>
        <w:t xml:space="preserve">Stand: 25.08.2026 (konsolidierte Textfassung, kein amtliches Inkrafttretensdatum)</w:t>
      </w:r>
    </w:p>
    <w:p>
      <w:r>
        <w:t xml:space="preserve">(1) Das Arbeitsverhältnis endet ohne Kündigung</w:t>
      </w:r>
    </w:p>
    <w:p>
      <w:r>
        <w:t xml:space="preserve">a) mit Ablauf des Monats, in dem die/der Beschäftigte das gesetzlich festgelegte Alter zum Erreichen der Regelaltersrente vollendet hat,</w:t>
      </w:r>
    </w:p>
    <w:p>
      <w:r>
        <w:t xml:space="preserve">b) jederzeit im gegenseitigen Einvernehmen (Auflösungsvertrag).</w:t>
      </w:r>
    </w:p>
    <w:p>
      <w:r>
        <w:t xml:space="preserve">(2) Das Arbeitsverhältnis endet ferner mit Ablauf des Monats, in dem der Bescheid eines Rentenversicherungsträgers (Rentenbescheid) zugestellt wird, wonach die/der Beschäftigte voll oder teilweise erwerbsgemindert ist. Die/Der Beschäftigte hat den Arbeitgeber von der Zustellung des Rentenbescheids unverzüglich zu unterrichten. Beginnt die Rente erst nach der Zustellung des Rentenbescheids, endet das Arbeitsverhältnis mit Ablauf des dem Rentenbeginn vorangehenden Tages. Liegt im Zeitpunkt der Beendigung des Arbeitsverhältnisses eine nach § 175 SGB IX erforderliche Zustimmung des Integrationsamtes noch nicht vor, endet das Arbeitsverhältnis mit Ablauf des Tages der Zustellung des Zustimmungsbescheids des Integrationsamtes. Das Arbeitsverhältnis endet nicht, wenn nach dem Bescheid des Rentenversicherungsträgers eine Rente auf Zeit gewährt wird. In diesem Fall ruht das Arbeitsverhältnis für den Zeitraum, für den eine Rente auf Zeit gewährt wird; beginnt die Rente rückwirkend, ruht das Arbeitsverhältnis ab dem ersten Tag des Monats, der auf den Monat der Zustellung des Rentenbescheids folgt.</w:t>
      </w:r>
    </w:p>
    <w:p>
      <w:r>
        <w:t xml:space="preserve">(3) Im Falle teilweiser Erwerbsminderung endet beziehungsweise ruht das Arbeitsverhältnis nicht, wenn die/der Beschäftigte nach ihrem/seinem vom Rentenversicherungsträger festgestellten Leistungsvermögen auf ihrem/seinem bisherigen oder einem anderen geeigneten und freien Arbeitsplatz weiterbeschäftigt werden könnte, soweit dringende dienstliche beziehungsweise betriebliche Gründe nicht entgegenstehen und die/der Beschäftigte innerhalb von zwei Wochen nach Zugang des Rentenbescheids ihre/seine Weiterbeschäftigung schriftlich beantragt.</w:t>
      </w:r>
    </w:p>
    <w:p>
      <w:r>
        <w:t xml:space="preserve">(4) Verzögert die/der Beschäftigte schuldhaft den Rentenantrag oder bezieht sie/er Altersrente nach § 236, § 236a oder § 236b SGB VI oder ist sie/er nicht in der gesetzlichen Rentenversicherung versichert, so tritt an die Stelle des Rentenbescheids das Gutachten einer Amtsärztin/eines Amtsarztes oder einer/eines nach § 3 Absatz 5 Satz 2 bestimmten Ärztin/Arztes. Das Arbeitsverhältnis endet in diesem Fall mit Ablauf des Monats, in dem der/dem Beschäftigten das Gutachten bekannt gegeben worden ist.</w:t>
      </w:r>
    </w:p>
    <w:p>
      <w:r>
        <w:t xml:space="preserve">(5) Soll die/der Beschäftigte, deren/dessen Arbeitsverhältnis nach Absatz 1 Buchstabe a geendet hat, weiterbeschäftigt werden, ist ein neuer schriftlicher Arbeitsvertrag abzuschließen. Das Arbeitsverhältnis kann jederzeit mit einer Frist von vier Wochen zum Monatsende gekündigt werden, wenn im Arbeitsvertrag nichts anderes vereinbart ist.</w:t>
      </w:r>
    </w:p>
    <w:p>
      <w:r>
        <w:rPr>
          <w:color w:val="555555"/>
          <w:sz w:val="17"/>
        </w:rPr>
        <w:t xml:space="preserve">Zitiervorschlag: § 33 TV-L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https://recht.nulegal.eu/gesetze/TV-L/33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