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TV-L (Bayern) — Führung auf Zeit</w:t>
      </w:r>
    </w:p>
    <w:p>
      <w:r>
        <w:rPr>
          <w:color w:val="555555"/>
          <w:sz w:val="18"/>
        </w:rPr>
        <w:t xml:space="preserve">Tarifvertrag für den öffentlichen Dienst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Führungspositionen können als befristetes Arbeitsverhältnis bis zur Dauer von vier Jahren vereinbart werden. Folgende Verlängerungen des Arbeitsvertrages sind zulässig:</w:t>
      </w:r>
    </w:p>
    <w:p>
      <w:r>
        <w:t xml:space="preserve">a) in den Entgeltgruppen 10 bis 12 eine höchstens zweimalige Verlängerung bis zu einer Gesamtdauer von acht Jahren,</w:t>
      </w:r>
    </w:p>
    <w:p>
      <w:r>
        <w:t xml:space="preserve">b) ab Entgeltgruppe 13 eine höchstens dreimalige Verlängerung bis zu einer Gesamtdauer von zwölf Jahren.</w:t>
      </w:r>
    </w:p>
    <w:p>
      <w:r>
        <w:t xml:space="preserve">Zeiten in einer Führungsposition nach Buchstabe a bei demselben Arbeitgeber können auf die Gesamtdauer nach Buchstabe b zur Hälfte angerechnet werden. Die allgemeinen Vorschriften über die Probezeit (§ 2 Absatz 4) und die beiderseitigen Kündigungsrechte bleiben unberührt.</w:t>
      </w:r>
    </w:p>
    <w:p>
      <w:r>
        <w:t xml:space="preserve">(2) Führungspositionen sind die ab Entgeltgruppe 10 auszuübenden Tätigkeiten mit Weisungsbefugnis.</w:t>
      </w:r>
    </w:p>
    <w:p>
      <w:r>
        <w:t xml:space="preserve">(3) Besteht bereits ein Arbeitsverhältnis mit demselben Arbeitgeber, kann der/dem Beschäftigten vorübergehend eine Führungsposition bis zu den in Absatz 1 genannten Fristen übertragen werden. Der/Dem Beschäftigten wird für die Dauer der Übertragung eine Zulage gewährt in Höhe des Unterschiedsbetrags zwischen den Tabellenentgelten nach der bisherigen Entgeltgruppe und dem sich bei Höhergruppierung nach § 17 Absatz 4 Satz 1 bis 3 ergebenden Tabellenentgelt, zuzüglich eines Zuschlags von 75 v.H. des Unterschiedsbetrags zwischen den Tabellenentgelten der Entgeltgruppe, die der übertragenen Funktion entspricht, zur nächsthöheren Entgeltgruppe nach § 17 Absatz 4 Satz 1 bis 3. Nach Fristablauf erhält die/der Beschäftigte eine der bisherigen Eingruppierung entsprechende Tätigkeit; der Zuschlag und die Zulage entfallen.</w:t>
      </w:r>
    </w:p>
    <w:p>
      <w:r>
        <w:rPr>
          <w:color w:val="555555"/>
          <w:sz w:val="17"/>
        </w:rPr>
        <w:t xml:space="preserve">Zitiervorschlag: § 32 TV-L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