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TV-L (Bayern) — Arbeitsbefreiung</w:t>
      </w:r>
    </w:p>
    <w:p>
      <w:r>
        <w:rPr>
          <w:color w:val="555555"/>
          <w:sz w:val="18"/>
        </w:rPr>
        <w:t xml:space="preserve">Tarifvertrag für den öffentlichen Dienst der Länder</w:t>
      </w:r>
    </w:p>
    <w:p>
      <w:r>
        <w:rPr>
          <w:color w:val="555555"/>
          <w:sz w:val="18"/>
        </w:rPr>
        <w:t xml:space="preserve">Landesrecht Bayern</w:t>
      </w:r>
    </w:p>
    <w:p>
      <w:r>
        <w:rPr>
          <w:color w:val="555555"/>
          <w:sz w:val="18"/>
        </w:rPr>
        <w:t xml:space="preserve">Stand: 25.08.2026 (konsolidierte Textfassung, kein amtliches Inkrafttretensdatum)</w:t>
      </w:r>
    </w:p>
    <w:p>
      <w:r>
        <w:t xml:space="preserve">(1) Nur die nachstehend aufgeführten Anlässe gelten als Fälle nach § 616 BGB, in denen Beschäftigte unter Fortzahlung des Entgelts in dem angegebenen Ausmaß von der Arbeit freigestellt werden:</w:t>
      </w:r>
    </w:p>
    <w:p>
      <w:r>
        <w:t xml:space="preserve">a)</w:t>
      </w:r>
    </w:p>
    <w:p>
      <w:r>
        <w:t xml:space="preserve">Niederkunft der Ehefrau/der Lebenspartnerin im Sinne des Lebenspartnerschaftsgesetzes</w:t>
      </w:r>
    </w:p>
    <w:p>
      <w:r>
        <w:t xml:space="preserve">ein Arbeitstag,</w:t>
      </w:r>
    </w:p>
    <w:p>
      <w:r>
        <w:t xml:space="preserve">b)</w:t>
      </w:r>
    </w:p>
    <w:p>
      <w:r>
        <w:t xml:space="preserve">Tod der Ehegattin/des Ehegatten, der Lebenspartnerin/des Lebenspartners im Sinne des Lebenspartnerschaftsgesetzes, eines Kindes oder Elternteils</w:t>
      </w:r>
    </w:p>
    <w:p>
      <w:r>
        <w:t xml:space="preserve">zwei Arbeitstage,</w:t>
      </w:r>
    </w:p>
    <w:p>
      <w:r>
        <w:t xml:space="preserve">c)</w:t>
      </w:r>
    </w:p>
    <w:p>
      <w:r>
        <w:t xml:space="preserve">Umzug aus dienstlichem oder betrieblichem Grund an einen anderen Ort</w:t>
      </w:r>
    </w:p>
    <w:p>
      <w:r>
        <w:t xml:space="preserve">ein Arbeitstag,</w:t>
      </w:r>
    </w:p>
    <w:p>
      <w:r>
        <w:t xml:space="preserve">d)</w:t>
      </w:r>
    </w:p>
    <w:p>
      <w:r>
        <w:t xml:space="preserve">25- und 40-jähriges Arbeitsjubiläum</w:t>
      </w:r>
    </w:p>
    <w:p>
      <w:r>
        <w:t xml:space="preserve">ein Arbeitstag,</w:t>
      </w:r>
    </w:p>
    <w:p>
      <w:r>
        <w:t xml:space="preserve">e)</w:t>
      </w:r>
    </w:p>
    <w:p>
      <w:r>
        <w:t xml:space="preserve">schwere Erkrankung</w:t>
      </w:r>
    </w:p>
    <w:p>
      <w:r>
        <w:t xml:space="preserve">aa)</w:t>
      </w:r>
    </w:p>
    <w:p>
      <w:r>
        <w:t xml:space="preserve">einer/eines Angehörigen, soweit sie/er in demselben Haushalt lebt,</w:t>
      </w:r>
    </w:p>
    <w:p>
      <w:r>
        <w:t xml:space="preserve">ein Arbeitstag im Kalenderjahr,</w:t>
      </w:r>
    </w:p>
    <w:p>
      <w:r>
        <w:t xml:space="preserve">bb)</w:t>
      </w:r>
    </w:p>
    <w:p>
      <w:r>
        <w:t xml:space="preserve">eines Kindes, das das 12. Lebensjahr noch nicht vollendet hat, wenn im laufenden Kalenderjahr kein Anspruch nach § 45 SGB V besteht oder bestanden hat,</w:t>
      </w:r>
    </w:p>
    <w:p>
      <w:r>
        <w:t xml:space="preserve">bis zu vier Arbeitstage im Kalenderjahr,</w:t>
      </w:r>
    </w:p>
    <w:p>
      <w:r>
        <w:t xml:space="preserve">cc)</w:t>
      </w:r>
    </w:p>
    <w:p>
      <w:r>
        <w:t xml:space="preserve">einer Betreuungsperson, wenn Beschäftigte deshalb die Betreuung ihres Kindes, das das 8. Lebensjahr noch nicht vollendet hat oder wegen körperlicher, geistiger oder seelischer Behinderung dauernd pflegebedürftig ist, übernehmen müssen.</w:t>
      </w:r>
    </w:p>
    <w:p>
      <w:r>
        <w:t xml:space="preserve">bis zu vier Arbeitstage im Kalenderjahr.</w:t>
      </w:r>
    </w:p>
    <w:p>
      <w:r>
        <w:t xml:space="preserve">Eine Freistellung nach Buchstabe e erfolgt nur, soweit eine andere Person zur Pflege oder Betreuung nicht sofort zur Verfügung steht und die Ärztin/der Arzt in den Fällen der Doppelbuchstaben aa und bb die Notwendigkeit der Anwesenheit der/des Beschäftigten zur vorläufigen Pflege bescheinigt. Die Freistellung darf insgesamt fünf Arbeitstage im Kalenderjahr nicht überschreiten.</w:t>
      </w:r>
    </w:p>
    <w:p>
      <w:r>
        <w:t xml:space="preserve">f)</w:t>
      </w:r>
    </w:p>
    <w:p>
      <w:r>
        <w:t xml:space="preserve">Ärztliche Behandlung von Beschäftigten, wenn diese während der Arbeitszeit erfolgen muss,</w:t>
      </w:r>
    </w:p>
    <w:p>
      <w:r>
        <w:t xml:space="preserve">erforderliche nachgewiesene Abwesenheitszeit einschließlich erforderlicher Wegezeiten.</w:t>
      </w:r>
    </w:p>
    <w:p>
      <w:r>
        <w:t xml:space="preserve">Niederschriftserklärung zu § 29 Absatz 1 Buchstabe f:</w:t>
      </w:r>
    </w:p>
    <w:p>
      <w:r>
        <w:t xml:space="preserve">Die ärztliche Behandlung erfasst auch die ärztliche Untersuchung und die ärztlich verordnete Behandlung.</w:t>
      </w:r>
    </w:p>
    <w:p>
      <w:r>
        <w:t xml:space="preserve">(2) Bei Erfüllung allgemeiner staatsbürgerlicher Pflichten nach deutschem Recht besteht der Anspruch auf Fortzahlung des Entgelts, wenn die Arbeitsbefreiung gesetzlich vorgeschrieben ist und soweit die Pflichten nicht außerhalb der Arbeitszeit, gegebenenfalls nach ihrer Verlegung, wahrgenommen werden können; soweit die Beschäftigten Anspruch auf Ersatz des Entgelts geltend machen können, besteht kein Anspruch auf Entgeltfortzahlung. Das fortgezahlte Entgelt gilt in Höhe des Ersatzanspruchs als Vorschuss auf die Leistungen der Kostenträger. Die Beschäftigten haben den Ersatzanspruch geltend zu machen und die erhaltenen Beträge an den Arbeitgeber abzuführen.</w:t>
      </w:r>
    </w:p>
    <w:p>
      <w:r>
        <w:t xml:space="preserve">(3) Der Arbeitgeber kann in sonstigen dringenden Fällen Arbeitsbefreiung unter Fortzahlung des Entgelts bis zu drei Arbeitstagen gewähren. In begründeten Fällen kann bei Verzicht auf das Entgelt kurzfristige Arbeitsbefreiung gewährt werden, wenn die dienstlichen oder betrieblichen Verhältnisse es gestatten.</w:t>
      </w:r>
    </w:p>
    <w:p>
      <w:r>
        <w:t xml:space="preserve">Protokollerklärung zu § 29 Absatz 3 Satz 2:</w:t>
      </w:r>
    </w:p>
    <w:p>
      <w:r>
        <w:t xml:space="preserve">Zu den „begründeten Fällen“ können auch solche Anlässe gehören, für die kein Anspruch auf Arbeitsbefreiung besteht (zum Beispiel Umzug aus persönlichen Gründen).</w:t>
      </w:r>
    </w:p>
    <w:p>
      <w:r>
        <w:t xml:space="preserve">(4) Auf Antrag kann den gewählten Vertreterinnen/Vertretern der Bezirksvorstände, der Landesbezirksvorstände, der Landesbezirksfachbereichsvorstände, der Bundesfachbereichsvorstände, der Bundesfachgruppenvorstände sowie des Gewerkschaftsrates beziehungsweise entsprechender Gremien anderer vertragsschließender Gewerkschaften zur Teilnahme an Tagungen Arbeitsbefreiung bis zu acht Werktagen im Jahr unter Fortzahlung des Entgelts erteilt werden; dringende dienstliche oder betriebliche Interessen dürfen der Arbeitsbefreiung nicht entgegenstehen. Zur Teilnahme an Tarifverhandlungen mit der TdL oder ihren Mitgliedern kann auf Anfordern einer der vertragsschließenden Gewerkschaften Arbeitsbefreiung unter Fortzahlung des Entgelts ohne zeitliche Begrenzung erteilt werden.</w:t>
      </w:r>
    </w:p>
    <w:p>
      <w:r>
        <w:t xml:space="preserve">(5) Zur Teilnahme an Sitzungen von Prüfungs- und von Berufsbildungsausschüssen nach dem Berufsbildungsgesetz sowie für eine Tätigkeit in Organen von Sozialversicherungsträgern kann den Mitgliedern Arbeitsbefreiung unter Fortzahlung des Entgelts gewährt werden, sofern nicht dringende dienstliche oder betriebliche Interessen entgegenstehen.</w:t>
      </w:r>
    </w:p>
    <w:p>
      <w:r>
        <w:t xml:space="preserve">(6) In den Fällen der Absätze 1 bis 5 werden das Tabellenentgelt sowie die sonstigen Entgeltbestandteile, die in Monatsbeträgen festgelegt sind, weitergezahlt.</w:t>
      </w:r>
    </w:p>
    <w:p>
      <w:r>
        <w:rPr>
          <w:color w:val="555555"/>
          <w:sz w:val="17"/>
        </w:rPr>
        <w:t xml:space="preserve">Zitiervorschlag: § 29 TV-L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https://recht.nulegal.eu/gesetze/TV-L/29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