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TV-L (Bayern) — Zusatzurlaub</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Gewährung eines Zusatzurlaubs gelten die für die Beamten des jeweiligen Landes jeweils maßgebenden Bestimmungen für Grund und Dauer sinngemäß. Die beamtenrechtlichen Bestimmungen gelten nicht für den Zusatzurlaub für Wechselschichtarbeit, Schichtarbeit und Nachtarbeit.</w:t>
      </w:r>
    </w:p>
    <w:p>
      <w:r>
        <w:t xml:space="preserve">(2) Beschäftigte, die ständig Wechselschichtarbeit nach § 7 Absatz 1 oder ständig Schichtarbeit nach § 7 Absatz 2 leisten und denen die Zulage nach § 8 Absatz 7 Satz 1 oder Absatz 8 Satz 1 zusteht, erhalten einen Arbeitstag Zusatzurlaub</w:t>
      </w:r>
    </w:p>
    <w:p>
      <w:r>
        <w:t xml:space="preserve">a) bei Wechselschichtarbeit für je zwei zusammenhängende Monate und</w:t>
      </w:r>
    </w:p>
    <w:p>
      <w:r>
        <w:t xml:space="preserve">b) bei Schichtarbeit für je vier zusammenhängende Monate.</w:t>
      </w:r>
    </w:p>
    <w:p>
      <w:r>
        <w:t xml:space="preserve">(3) Im Falle nicht ständiger Wechselschicht- oder Schichtarbeit (zum Beispiel ständige Vertreter) erhalten Beschäftigte, denen die Zulage nach § 8 Absatz 7 Satz 2 oder Absatz 8 Satz 2 zusteht, einen Arbeitstag Zusatzurlaub für</w:t>
      </w:r>
    </w:p>
    <w:p>
      <w:r>
        <w:t xml:space="preserve">a) je drei Monate im Jahr, in denen sie überwiegend Wechselschichtarbeit geleistet haben, und</w:t>
      </w:r>
    </w:p>
    <w:p>
      <w:r>
        <w:t xml:space="preserve">b) je fünf Monate im Jahr, in denen sie überwiegend Schichtarbeit geleistet haben.</w:t>
      </w:r>
    </w:p>
    <w:p>
      <w:r>
        <w:t xml:space="preserve">Protokollerklärung zu § 27 Absatz 2 und 3: Der Anspruch auf Zusatzurlaub bemisst sich nach der abgeleisteten Schicht- oder Wechselschichtarbeit und entsteht im laufenden Jahr, sobald die Voraussetzungen nach Absatz 2 oder 3 erfüllt sind. Für die Feststellung, ob ständige Wechselschichtarbeit oder ständige Schichtarbeit vorliegt, ist eine Unterbrechung durch Arbeitsbefreiung, Freizeitausgleich, bezahlten Urlaub oder Arbeitsunfähigkeit in den Grenzen des § 22 unschädlich.</w:t>
      </w:r>
    </w:p>
    <w:p>
      <w:r>
        <w:t xml:space="preserve">(4) Zusatzurlaub nach diesem Tarifvertrag und sonstigen Bestimmungen mit Ausnahme von § 208 SGB IX wird nur bis zu insgesamt sechs Arbeitstagen im Kalenderjahr gewährt. Erholungsurlaub und Zusatzurlaub (Gesamturlaub) dürfen im Kalenderjahr zusammen 35 Arbeitstage nicht überschreiten. Satz 2 ist für Zusatzurlaub nach den Absätzen 2 und 3 hierzu nicht anzuwenden. Bei Beschäftigten, die das 50. Lebensjahr vollendet haben, gilt abweichend von Satz 2 eine Höchstgrenze von 36 Arbeitstagen; maßgebend für die Berechnung der Urlaubsdauer ist das Lebensjahr, das im Laufe des Kalenderjahres vollendet wird.</w:t>
      </w:r>
    </w:p>
    <w:p>
      <w:r>
        <w:t xml:space="preserve">(5) Im Übrigen gilt § 26 mit Ausnahme von Absatz 2 Buchstabe b entsprechend.</w:t>
      </w:r>
    </w:p>
    <w:p>
      <w:r>
        <w:rPr>
          <w:color w:val="555555"/>
          <w:sz w:val="17"/>
        </w:rPr>
        <w:t xml:space="preserve">Zitiervorschlag: § 27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