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TV-L (Bayern) — Berechnung und Auszahlung des Entgelts</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Bemessungszeitraum für das Tabellenentgelt und die sonstigen Entgeltbestandteile ist der Kalendermonat, soweit tarifvertraglich nicht ausdrücklich etwas Abweichendes geregelt ist. Die Zahlung erfolgt am letzten Tag des Monats (Zahltag) für den laufenden Kalendermonat auf ein von der/dem Beschäftigten benanntes Konto innerhalb eines Mitgliedstaats der Europäischen Union. Fällt der Zahltag auf einen Samstag oder auf einen Wochenfeiertag, gilt der vorhergehende Werktag, fällt er auf einen Sonntag, gilt der zweite vorhergehende Werktag als Zahltag. Entgeltbestandteile, die nicht in Monatsbeträgen festgelegt sind, sowie der Tagesdurchschnitt nach § 21 sind am Zahltag des zweiten Kalendermonats, der auf ihre Entstehung folgt, fällig.</w:t>
      </w:r>
    </w:p>
    <w:p>
      <w:r>
        <w:t xml:space="preserve">Protokollerklärungen zu § 24 Absatz 1:</w:t>
      </w:r>
    </w:p>
    <w:p>
      <w:r>
        <w:t xml:space="preserve">1. Teilen Beschäftigte ihrem Arbeitgeber die für eine kostenfreie beziehungsweise kostengünstigere Überweisung in einen anderen Mitgliedstaat der Europäischen Union erforderlichen Angaben nicht rechtzeitig mit, so tragen sie die dadurch entstehenden zusätzlichen Überweisungskosten.</w:t>
      </w:r>
    </w:p>
    <w:p>
      <w:r>
        <w:t xml:space="preserve">2. Soweit Arbeitgeber die Bezüge am 15. eines jeden Monats für den laufenden Monat zahlen, können sie jeweils im Dezember eines Kalenderjahres den Zahltag vom 15. auf den letzten Tag des Monats gemäß Absatz 1 Satz 1 verschieben.</w:t>
      </w:r>
    </w:p>
    <w:p>
      <w:r>
        <w:t xml:space="preserve">(2) Soweit tarifvertraglich nicht ausdrücklich etwas anderes geregelt ist, erhalten Teilzeitbeschäftigte das Tabellenentgelt (§ 15) und alle sonstigen Entgeltbestandteile in dem Umfang, der dem Anteil ihrer individuell vereinbarten durchschnittlichen Arbeitszeit an der regelmäßigen Arbeitszeit vergleichbarer Vollzeitbeschäftigter entspricht.</w:t>
      </w:r>
    </w:p>
    <w:p>
      <w:r>
        <w:t xml:space="preserve">(3) Besteht der Anspruch auf das Tabellenentgelt oder die sonstigen Entgeltbestandteile nicht für alle Tage eines Kalendermonats, wird nur der Teil gezahlt, der auf den Anspruchszeitraum entfällt. Besteht nur für einen Teil eines Kalendertags Anspruch auf Entgelt, wird für jede geleistete dienstplanmäßige oder betriebsübliche Arbeitsstunde der auf eine Stunde entfallende Anteil des Tabellenentgelts sowie der sonstigen in Monatsbeträgen festgelegten Entgeltbestandteile gezahlt. Zur Ermittlung des auf eine Stunde entfallenden Anteils sind die in Monatsbeträgen festgelegten Entgeltbestandteile durch das 4,348-fache der regelmäßigen wöchentlichen Arbeitszeit (§ 6 Absatz 1 und entsprechende Sonderregelungen) zu teilen.</w:t>
      </w:r>
    </w:p>
    <w:p>
      <w:r>
        <w:t xml:space="preserve">(4) Ergibt sich bei der Berechnung von Beträgen ein Bruchteil eines Cents von mindestens 0,5, ist er aufzurunden; ein Bruchteil von weniger als 0,5 ist abzurunden. Zwischenrechnungen werden jeweils auf zwei Dezimalstellen gerundet. Jeder Entgeltbestandteil ist einzeln zu runden.</w:t>
      </w:r>
    </w:p>
    <w:p>
      <w:r>
        <w:t xml:space="preserve">(5) Entfallen die Voraussetzungen für eine Zulage im Laufe eines Kalendermonats, gilt Absatz 3 entsprechend.</w:t>
      </w:r>
    </w:p>
    <w:p>
      <w:r>
        <w:t xml:space="preserve">(6) Einzelvertraglich können neben dem Tabellenentgelt zustehende Entgeltbestandteile (zum Beispiel Zeitzuschläge, Erschwerniszuschläge, Überstundenentgelte) pauschaliert werden.</w:t>
      </w:r>
    </w:p>
    <w:p>
      <w:r>
        <w:rPr>
          <w:color w:val="555555"/>
          <w:sz w:val="17"/>
        </w:rPr>
        <w:t xml:space="preserve">Zitiervorschlag: § 24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