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TV-L (Bayern) — Besondere Zahlungen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Einen Anspruch auf vermögenswirksame Leistungen nach Maßgabe des Vermögensbildungsgesetzes in seiner jeweiligen Fassung haben Beschäftigte, deren Arbeitsverhältnis voraussichtlich mindestens sechs Monate dauert. Für Vollbeschäftigte beträgt die vermögenswirksame Leistung für jeden vollen Kalendermonat 6,65 Euro. Der Anspruch entsteht frühestens für den Kalendermonat, in dem die/der Beschäftigte dem Arbeitgeber die erforderlichen Angaben schriftlich mitteilt, und für die beiden vorangegangenen Monate desselben Kalenderjahres; die Fälligkeit tritt nicht vor acht Wochen nach Zugang der Mitteilung beim Arbeitgeber ein. Die vermögenswirksame Leistung wird nur für Kalendermonate gewährt, für die den Beschäftigten Tabellenentgelt, Entgeltfortzahlung oder Krankengeldzuschuss zusteht. Für Zeiten, für die Krankengeldzuschuss zusteht, ist die vermögenswirksame Leistung Teil des Krankengeldzuschusses. Die vermögenswirksame Leistung ist kein zusatzversorgungspflichtiges Entgelt.</w:t>
      </w:r>
    </w:p>
    <w:p>
      <w:r>
        <w:t xml:space="preserve">(2) Beschäftigte erhalten ein Jubiläumsgeld bei Vollendung einer Beschäftigungszeit (§ 34 Absatz 3)</w:t>
      </w:r>
    </w:p>
    <w:p>
      <w:r>
        <w:t xml:space="preserve">a)</w:t>
      </w:r>
    </w:p>
    <w:p>
      <w:r>
        <w:t xml:space="preserve">von 25 Jahren</w:t>
      </w:r>
    </w:p>
    <w:p>
      <w:r>
        <w:t xml:space="preserve">in Höhe von</w:t>
      </w:r>
    </w:p>
    <w:p>
      <w:r>
        <w:t xml:space="preserve">350 Euro,</w:t>
      </w:r>
    </w:p>
    <w:p>
      <w:r>
        <w:t xml:space="preserve">b)</w:t>
      </w:r>
    </w:p>
    <w:p>
      <w:r>
        <w:t xml:space="preserve">von 40 Jahren</w:t>
      </w:r>
    </w:p>
    <w:p>
      <w:r>
        <w:t xml:space="preserve">in Höhe von</w:t>
      </w:r>
    </w:p>
    <w:p>
      <w:r>
        <w:t xml:space="preserve">500 Euro.</w:t>
      </w:r>
    </w:p>
    <w:p>
      <w:r>
        <w:t xml:space="preserve">Teilzeitbeschäftigte erhalten das Jubiläumsgeld in voller Höhe.</w:t>
      </w:r>
    </w:p>
    <w:p>
      <w:r>
        <w:t xml:space="preserve">(3) Beim Tod von Beschäftigten, deren Arbeitsverhältnis nicht geruht hat, wird der Ehegattin/dem Ehegatten oder den Kindern ein Sterbegeld gewährt; der Ehegattin/dem Ehegatten steht die Lebenspartnerin/der Lebenspartner im Sinne des Lebenspartnerschaftsgesetzes gleich. Als Sterbegeld wird für die restlichen Tage des Sterbemonats und – in einer Summe – für zwei weitere Monate das Tabellenentgelt der/des Verstorbenen gezahlt. Die Zahlung des Sterbegeldes an einen der Berechtigten bringt den Anspruch der Übrigen gegenüber dem Arbeitgeber zum Erlöschen; die Zahlung auf das Gehaltskonto hat befreiende Wirkung.</w:t>
      </w:r>
    </w:p>
    <w:p>
      <w:r>
        <w:t xml:space="preserve">(4) Für die Erstattung von Reise- und Umzugskosten sowie Trennungsgeld finden die Bestimmungen, die für die Beamtinnen und Beamten des Arbeitgebers jeweils gelten, entsprechende Anwendung.</w:t>
      </w:r>
    </w:p>
    <w:p>
      <w:r>
        <w:rPr>
          <w:color w:val="555555"/>
          <w:sz w:val="17"/>
        </w:rPr>
        <w:t xml:space="preserve">Zitiervorschlag: § 23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