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19b TV-L (Bayern) — Entgeltumwandlung zum Fahrrad-Leasing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Beschäftigte haben Anspruch darauf, dass künftige monatliche Entgeltansprüche durch Entgeltumwandlung für das Leasing eines Fahrrades verwendet werden, wenn und soweit</w:t>
      </w:r>
    </w:p>
    <w:p>
      <w:r>
        <w:t xml:space="preserve">– die Entgeltumwandlung zum Fahrrad-Leasing auch Beamtinnen und Beamten des jeweiligen Landes angeboten wird und</w:t>
      </w:r>
    </w:p>
    <w:p>
      <w:r>
        <w:t xml:space="preserve">– der Arbeitgeber die Entgeltumwandlung zum Fahrrad-Leasing auch den Tarifbeschäftigten anbietet.</w:t>
      </w:r>
    </w:p>
    <w:p>
      <w:r>
        <w:t xml:space="preserve">Bietet der Arbeitgeber die Entgeltumwandlung zum Fahrrad-Leasing einer oder einem Beschäftigten an, muss er die Entgeltumwandlung allen Beschäftigten anbieten.</w:t>
      </w:r>
    </w:p>
    <w:p>
      <w:r>
        <w:t xml:space="preserve">(2) Von der Entgeltumwandlung ausgenommen sind</w:t>
      </w:r>
    </w:p>
    <w:p>
      <w:r>
        <w:t xml:space="preserve">a) Beschäftigte, die zu Beginn der Entgeltumwandlung</w:t>
      </w:r>
    </w:p>
    <w:p>
      <w:r>
        <w:t xml:space="preserve">– in der Probezeit sind,</w:t>
      </w:r>
    </w:p>
    <w:p>
      <w:r>
        <w:t xml:space="preserve">– in einem gekündigten Arbeitsverhältnis stehen,</w:t>
      </w:r>
    </w:p>
    <w:p>
      <w:r>
        <w:t xml:space="preserve">– in einem Arbeitsverhältnis stehen, das weniger als die zu vereinbarende Leasingdauer andauert, sowie</w:t>
      </w:r>
    </w:p>
    <w:p>
      <w:r>
        <w:t xml:space="preserve">b) Beschäftigte, deren Bezüge von einer Abtretung, Aufrechnung oder Pfändung betroffen sind, oder die Schuldnerin oder Schuldner in einem laufenden Insolvenzverfahren sind; dies gilt solange die jeweiligen Gläubiger aus den Bezügen pfändbare Beträge verlangen können, ungeachtet dessen, ob und in welcher Höhe sie dieses Recht tatsächlich wahrnehmen.</w:t>
      </w:r>
    </w:p>
    <w:p>
      <w:r>
        <w:t xml:space="preserve">(3) Leasingnehmer ist der Arbeitgeber. Er überlässt der / dem Beschäftigten das Fahrrad zur dienstlichen und privaten Nutzung. Die monatliche Entgeltumwandlung muss während der gesamten Dauer des Leasingvertrages, die längstens 36 Monate betragen darf, der monatlichen Leasingrate entsprechen.</w:t>
      </w:r>
    </w:p>
    <w:p>
      <w:r>
        <w:t xml:space="preserve">(4) Die Entgeltumwandlung ist nur zulässig für das Leasing von Fahrrädern im Sinne von § 63a Straßenverkehrs-Zulassungs-Ordnung. Aus dem Angebot des Leasinggebers kann die / der Beschäftigte ein Fahrrad auswählen, das einschließlich etwaiger Zusatzleistungen (zum Beispiel Versicherungen) und verbundenem Zubehör einen Höchstbetrag von 7.000 Euro nicht über- und einen Mindestbetrag von 750 Euro nicht unterschreitet. Als Preis für das Fahrrad selbst ist dabei die unverbindliche Preisempfehlung des Herstellers, Importeurs oder Großhändlers einschließlich Umsatzsteuer zugrunde zu legen. Jeder / Jedem Beschäftigten kann jeweils nur ein Fahrrad überlassen werden.</w:t>
      </w:r>
    </w:p>
    <w:p>
      <w:r>
        <w:t xml:space="preserve">(5) Die umgewandelten Entgeltbestandteile sind zusatzversorgungspflichtiges Entgelt.</w:t>
      </w:r>
    </w:p>
    <w:p>
      <w:r>
        <w:t xml:space="preserve">(6) Die gesetzlichen Mitbestimmungsrechte bleiben unberührt.</w:t>
      </w:r>
    </w:p>
    <w:p>
      <w:r>
        <w:t xml:space="preserve">Protokollerklärung zu § 19b:</w:t>
      </w:r>
    </w:p>
    <w:p>
      <w:r>
        <w:t xml:space="preserve">§ 19b findet im Freistaat Bayern und im Bereich des AVdöD Baden-Württemberg keine Anwendung, solange die dort auf Landesebene von diesen abgeschlossenen landesbezirklichen Tarifverträge zur Entgeltumwandlung zum Fahrrad-Leasing gültig sind.</w:t>
      </w:r>
    </w:p>
    <w:p>
      <w:r>
        <w:rPr>
          <w:color w:val="555555"/>
          <w:sz w:val="17"/>
        </w:rPr>
        <w:t xml:space="preserve">Zitiervorschlag: § 19b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https://recht.nulegal.eu/gesetze/TV-L/19b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