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TV-L (Bayern) — Erschwerniszuschläge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Erschwerniszuschläge werden für Arbeiten gezahlt, die außergewöhnliche Erschwernisse beinhalten. Dies gilt nicht für Erschwernisse, die mit dem Berufs- oder Tätigkeitsbild verbunden sind, das der Eingruppierung zugrunde liegt.</w:t>
      </w:r>
    </w:p>
    <w:p>
      <w:r>
        <w:t xml:space="preserve">(2) Außergewöhnliche Erschwernisse im Sinne des Absatzes 1 ergeben sich grundsätzlich nur bei Arbeiten</w:t>
      </w:r>
    </w:p>
    <w:p>
      <w:r>
        <w:t xml:space="preserve">a) mit besonderer Gefährdung,</w:t>
      </w:r>
    </w:p>
    <w:p>
      <w:r>
        <w:t xml:space="preserve">b) mit extremer nicht klimabedingter Hitzeeinwirkung,</w:t>
      </w:r>
    </w:p>
    <w:p>
      <w:r>
        <w:t xml:space="preserve">c) mit besonders starker Schmutz- oder Staubbelastung,</w:t>
      </w:r>
    </w:p>
    <w:p>
      <w:r>
        <w:t xml:space="preserve">d) mit besonders starker Strahlenexposition oder</w:t>
      </w:r>
    </w:p>
    <w:p>
      <w:r>
        <w:t xml:space="preserve">e) unter sonstigen vergleichbar erschwerten Umständen.</w:t>
      </w:r>
    </w:p>
    <w:p>
      <w:r>
        <w:t xml:space="preserve">(3) Zuschläge nach Absatz 1 werden nicht gewährt, soweit der außergewöhnlichen Erschwernis durch geeignete Vorkehrungen, insbesondere zum Arbeitsschutz, ausreichend Rechnung getragen wird.</w:t>
      </w:r>
    </w:p>
    <w:p>
      <w:r>
        <w:t xml:space="preserve">(4) Die Zuschläge betragen in der Regel 5 bis 15 v.H. – in besonderen Fällen auch abweichend – des auf eine Stunde entfallenden Anteils des monatlichen Tabellenentgelts der Stufe 2 der Entgeltgruppe 2. Teilzeitbeschäftigte erhalten Erschwerniszuschläge, die nach Stunden bemessen werden, in voller Höhe; sofern sie pauschaliert gezahlt werden, gilt dagegen § 24 Absatz 2.</w:t>
      </w:r>
    </w:p>
    <w:p>
      <w:r>
        <w:t xml:space="preserve">(5) Die zuschlagspflichtigen Arbeiten und die Höhe der Zuschläge werden tarifvertraglich vereinbart. Bis zum In-Kraft-Treten eines entsprechenden Tarifvertrages gelten die bisherigen tarifvertraglichen Regelungen fort.</w:t>
      </w:r>
    </w:p>
    <w:p>
      <w:r>
        <w:t xml:space="preserve">(6) Beschäftigte im Sinne von § 38 Absatz 5 Satz 2</w:t>
      </w:r>
    </w:p>
    <w:p>
      <w:r>
        <w:t xml:space="preserve">im Außendienst des Straßenbetriebsdienstes und Straßenbaus und im Außendienst des Küstenschutzes der Wasserbauverwaltung erhalten für jeden Kalendermonat, für den ihnen Erschwerniszuschläge nach den Abschnitten A, M oder R des Zuschlagskataloges zum Tarifvertrag über die Lohnzuschläge gemäß § 29 MTL II (TVZ zum MTL) bzw. der entsprechenden Regelungen im Tarifvertrag über die Lohnzuschläge gemäß § 29 MTArb-O für Arbeiter der Länder (TVZ zum MTArb-O-TdL) zustehen, zusätzlich einen Pauschalbetrag von monatlich 25 Euro; § 24 Absatz 2</w:t>
      </w:r>
    </w:p>
    <w:p>
      <w:r>
        <w:t xml:space="preserve">findet Anwendung.</w:t>
      </w:r>
    </w:p>
    <w:p>
      <w:r>
        <w:t xml:space="preserve">Niederschriftserklärung zu § 19 Absatz 6:</w:t>
      </w:r>
    </w:p>
    <w:p>
      <w:r>
        <w:t xml:space="preserve">Die Tarifvertragsparteien sind sich einig, dass die Pauschalzahlung nach § 19 Absatz 6 TV-L nur für diejenigen Monate gezahlt wird, für die der/dem Beschäftigten Erschwerniszuschläge aufgrund tatsächlicher Arbeitsleistung oder im Wege der Entgeltfortzahlung nach § 21 TV-L zustehen.</w:t>
      </w:r>
    </w:p>
    <w:p>
      <w:r>
        <w:rPr>
          <w:color w:val="555555"/>
          <w:sz w:val="17"/>
        </w:rPr>
        <w:t xml:space="preserve">Zitiervorschlag: § 19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