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TV-L (Bayern) — Tabellenentgelt</w:t>
      </w:r>
    </w:p>
    <w:p>
      <w:r>
        <w:rPr>
          <w:color w:val="555555"/>
          <w:sz w:val="18"/>
        </w:rPr>
        <w:t xml:space="preserve">Tarifvertrag für den öffentlichen Dienst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Die/Der Beschäftigte erhält monatlich ein Tabellenentgelt.</w:t>
      </w:r>
    </w:p>
    <w:p>
      <w:r>
        <w:t xml:space="preserve">Die Höhe bestimmt sich nach der Entgeltgruppe, in die sie/er eingruppiert ist, und nach der für sie/ihn geltenden Stufe.</w:t>
      </w:r>
    </w:p>
    <w:p>
      <w:r>
        <w:t xml:space="preserve">Protokollerklärung zu § 15 Absatz 1:</w:t>
      </w:r>
    </w:p>
    <w:p>
      <w:r>
        <w:t xml:space="preserve">(aufgehoben)</w:t>
      </w:r>
    </w:p>
    <w:p>
      <w:r>
        <w:t xml:space="preserve">(2) Die Höhe der Tabellenentgelte ist in den Anlagen B und C festgelegt.</w:t>
      </w:r>
    </w:p>
    <w:p>
      <w:r>
        <w:t xml:space="preserve">(3) Im Rahmen von landesbezirklichen Regelungen können für an- und ungelernte Tätigkeiten in von Outsourcing und/oder Privatisierung bedrohten Bereichen in den Entgeltgruppen 1 bis 4 Abweichungen von der Entgelttabelle bis zu einer dort vereinbarten Untergrenze vorgenommen werden. Die Untergrenze muss im Rahmen der Spannbreite des Entgelts der Entgeltgruppe 1 liegen. Die Umsetzung erfolgt durch Anwendungsvereinbarung.</w:t>
      </w:r>
    </w:p>
    <w:p>
      <w:r>
        <w:t xml:space="preserve">Niederschriftserklärung zu § 15:</w:t>
      </w:r>
    </w:p>
    <w:p>
      <w:r>
        <w:t xml:space="preserve">Als Tabellenentgelt gilt auch das Entgelt aus der individuellen Zwischenstufe und der individuellen Endstufe.</w:t>
      </w:r>
    </w:p>
    <w:p>
      <w:r>
        <w:rPr>
          <w:color w:val="555555"/>
          <w:sz w:val="17"/>
        </w:rPr>
        <w:t xml:space="preserve">Zitiervorschlag: § 15 TV-L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https://recht.nulegal.eu/gesetze/TV-L/15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