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TV-L (Bayern) — Eingruppierung in besonderen Fällen</w:t>
      </w:r>
    </w:p>
    <w:p>
      <w:r>
        <w:rPr>
          <w:color w:val="555555"/>
          <w:sz w:val="18"/>
        </w:rPr>
        <w:t xml:space="preserve">Tarifvertrag für den öffentlichen Dienst der Länder</w:t>
      </w:r>
    </w:p>
    <w:p>
      <w:r>
        <w:rPr>
          <w:color w:val="555555"/>
          <w:sz w:val="18"/>
        </w:rPr>
        <w:t xml:space="preserve">Landesrecht Bayern</w:t>
      </w:r>
    </w:p>
    <w:p>
      <w:r>
        <w:rPr>
          <w:color w:val="555555"/>
          <w:sz w:val="18"/>
        </w:rPr>
        <w:t xml:space="preserve">Stand: 25.08.2026 (konsolidierte Textfassung, kein amtliches Inkrafttretensdatum)</w:t>
      </w:r>
    </w:p>
    <w:p>
      <w:r>
        <w:t xml:space="preserve">Ist der/dem Beschäftigten eine andere, höherwertige Tätigkeit nicht übertragen worden, hat sich aber die ihr/ihm übertragene Tätigkeit (§ 12 Absatz 1 Satz 3) nicht nur vorübergehend derart geändert, dass sie den Tätigkeitsmerkmalen einer höheren als ihrer/seiner bisherigen Entgeltgruppe entspricht (§ 12 Absatz 1 Satz 4 bis 8), und hat die/der Beschäftigte die höherwertige Tätigkeit ununterbrochen sechs Monate lang ausgeübt, ist sie/er mit Beginn des darauffolgenden Kalendermonats in der höheren Entgeltgruppe eingruppiert. Für die zurückliegenden sechs Kalendermonate gilt § 14 sinngemäß. Ist die Zeit der Ausübung der höherwertigen Tätigkeit durch Urlaub, Arbeitsbefreiung, Arbeitsunfähigkeit, Kur- oder Heilverfahren oder Vorbereitung auf eine Fachprüfung für die Dauer von insgesamt nicht mehr als sechs Wochen unterbrochen worden, wird die Unterbrechungszeit in die Frist von sechs Monaten eingerechnet. Bei einer längeren Unterbrechung oder bei einer Unterbrechung aus anderen Gründen beginnt die Frist nach der Beendigung der Unterbrechung von neuem. Wird der/dem Beschäftigten vor Ablauf der sechs Monate wieder eine Tätigkeit zugewiesen, die den Tätigkeitsmerkmalen ihrer/seiner bisherigen Entgeltgruppe entspricht, gilt § 14 sinngemäß.</w:t>
      </w:r>
    </w:p>
    <w:p>
      <w:r>
        <w:rPr>
          <w:color w:val="555555"/>
          <w:sz w:val="17"/>
        </w:rPr>
        <w:t xml:space="preserve">Zitiervorschlag: § 13 TV-L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https://recht.nulegal.eu/gesetze/TV-L/13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