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12 TV-L (Bayern) — Eingruppierung</w:t>
      </w:r>
    </w:p>
    <w:p>
      <w:r>
        <w:rPr>
          <w:color w:val="555555"/>
          <w:sz w:val="18"/>
        </w:rPr>
        <w:t xml:space="preserve">Tarifvertrag für den öffentlichen Dienst der Länder</w:t>
      </w:r>
    </w:p>
    <w:p>
      <w:r>
        <w:rPr>
          <w:color w:val="555555"/>
          <w:sz w:val="18"/>
        </w:rPr>
        <w:t xml:space="preserve">Landesrecht Bayern</w:t>
      </w:r>
    </w:p>
    <w:p>
      <w:r>
        <w:rPr>
          <w:color w:val="555555"/>
          <w:sz w:val="18"/>
        </w:rPr>
        <w:t xml:space="preserve">Stand: 25.08.2026 (konsolidierte Textfassung, kein amtliches Inkrafttretensdatum)</w:t>
      </w:r>
    </w:p>
    <w:p>
      <w:r>
        <w:t xml:space="preserve">(1) Die Eingruppierung der/des Beschäftigten richtet sich nach den Tätigkeitsmerkmalen der Entgeltordnung (Anlage A). Die/Der Beschäftigte erhält Entgelt nach der Entgeltgruppe, in der sie/er eingruppiert ist. Die/Der Beschäftigte ist in der Entgeltgruppe eingruppiert, deren Tätigkeitsmerkmalen die gesamte von ihr/ihm nicht nur vorübergehend auszuübende Tätigkeit entspricht. Die gesamte auszuübende Tätigkeit entspricht den Tätigkeitsmerkmalen einer Entgeltgruppe, wenn zeitlich mindestens zur Hälfte Arbeitsvorgänge anfallen, die für sich genommen die Anforderungen eines Tätigkeitsmerkmals oder mehrerer Tätigkeitsmerkmale dieser Entgeltgruppe erfüllen. Kann die Erfüllung einer Anforderung in der Regel erst bei der Betrachtung mehrerer Arbeitsvorgänge festgestellt werden (z.B. vielseitige Fachkenntnisse), sind diese Arbeitsvorgänge für die Feststellung, ob diese Anforderung erfüllt ist, insoweit zusammen zu beurteilen. Werden in einem Tätigkeitsmerkmal mehrere Anforderungen gestellt, gilt das in Satz 4 bestimmte Maß, ebenfalls bezogen auf die gesamte auszuübende Tätigkeit, für jede Anforderung. Ist in einem Tätigkeitsmerkmal ein von Satz 4 oder 6 abweichendes zeitliches Maß bestimmt, gilt dieses.</w:t>
      </w:r>
    </w:p>
    <w:p>
      <w:r>
        <w:t xml:space="preserve">Ist in einem Tätigkeitsmerkmal als Anforderung eine Voraussetzung in der Person der/des Beschäftigten bestimmt, muss auch diese Anforderung erfüllt sein.</w:t>
      </w:r>
    </w:p>
    <w:p>
      <w:r>
        <w:t xml:space="preserve">Protokollerklärung zu § 12 Absatz 1:</w:t>
      </w:r>
    </w:p>
    <w:p>
      <w:r>
        <w:t xml:space="preserve">1. Arbeitsvorgänge sind Arbeitsleistungen (einschließlich Zusammenhangsarbeiten), die, bezogen auf den Aufgabenkreis der/des Beschäftigten, zu einem bei natürlicher Betrachtung abgrenzbaren Arbeitsergebnis führen (z.B. unterschriftsreife Bearbeitung eines Aktenvorgangs, eines Widerspruchs oder eines Antrags, Betreuung bzw. Pflege einer Person oder Personengruppe, Fertigung einer Bauzeichnung, Erstellung eines EKG, Durchführung einer Unterhaltungs- bzw. Instandsetzungsarbeit). Jeder einzelne Arbeitsvorgang ist als solcher zu bewerten und darf dabei hinsichtlich der Anforderungen zeitlich nicht aufgespalten werden.</w:t>
      </w:r>
    </w:p>
    <w:p>
      <w:r>
        <w:t xml:space="preserve">2. Eine Anforderung im Sinne der Sätze 4 und 5 ist auch das in einem Tätigkeitsmerkmal geforderte Herausheben der Tätigkeit aus einer niedrigeren Entgeltgruppe.</w:t>
      </w:r>
    </w:p>
    <w:p>
      <w:r>
        <w:t xml:space="preserve">(2) Die Entgeltgruppe der/des Beschäftigten ist im Arbeitsvertrag anzugeben.</w:t>
      </w:r>
    </w:p>
    <w:p>
      <w:r>
        <w:t xml:space="preserve">Niederschriftserklärung zu § 12:</w:t>
      </w:r>
    </w:p>
    <w:p>
      <w:r>
        <w:t xml:space="preserve">Zur Sicherstellung einer differenzierten Eingruppierung anhand des zeitlichen Umfangs, in dem eine bestimmte Anforderung (z.B. Schwierigkeit, Verantwortung) innerhalb der auszuübenden Tätigkeiten erfüllt sein muss (Hierarchisierung), werden die Tarifvertragsparteien unmittelbar nach der Redaktion Gespräche aufnehmen. (Nr. II. 1. der Tarifeinigung vom 2. März 2019)</w:t>
      </w:r>
    </w:p>
    <w:p>
      <w:r>
        <w:rPr>
          <w:color w:val="555555"/>
          <w:sz w:val="17"/>
        </w:rPr>
        <w:t xml:space="preserve">Zitiervorschlag: § 12 TV-L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https://recht.nulegal.eu/gesetze/TV-L/12</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