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TV-L (Bayern) — Arbeitszeitkonto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Durch Betriebs-/Dienstvereinbarung kann ein Arbeitszeitkonto eingerichtet werden. Für einen Betrieb/eine Verwaltung, in dem/der ein Personalvertretungsgesetz Anwendung findet, kann eine Regelung nach Satz 1 auch in einem landesbezirklichen Tarifvertrag getroffen werden, wenn eine Dienstvereinbarung nicht einvernehmlich zustande kommt und der Arbeitgeber ein Letztentscheidungsrecht hat. Soweit ein Arbeitszeitkorridor (§ 6 Absatz 6) oder eine Rahmenzeit (§ 6 Absatz 7) vereinbart wird, ist ein Arbeitszeitkonto einzurichten.</w:t>
      </w:r>
    </w:p>
    <w:p>
      <w:r>
        <w:t xml:space="preserve">(2) In der Betriebs-/Dienstvereinbarung wird festgelegt, ob das Arbeitszeitkonto im ganzen Betrieb/in der ganzen Verwaltung oder Teilen davon eingerichtet wird. Alle Beschäftigten der Betriebs-/Verwaltungsteile, für die ein Arbeitszeitkonto eingerichtet wird, werden von den Regelungen des Arbeitszeitkontos erfasst.</w:t>
      </w:r>
    </w:p>
    <w:p>
      <w:r>
        <w:t xml:space="preserve">(3) Auf das Arbeitszeitkonto können Zeiten, die bei Anwendung des nach § 6 Absatz 2 festgelegten Zeitraums als Zeitguthaben oder als Zeitschuld bestehen bleiben, nicht durch Freizeit ausgeglichene Zeiten nach § 8 Absatz 1 Satz 5 und Absatz 4 sowie in Zeit umgewandelte Zuschläge nach § 8 Absatz 1 Satz 4 gebucht werden. Weitere Kontingente (zum Beispiel Rufbereitschafts-/Bereitschaftsdienstentgelte) können durch Betriebs-/Dienstvereinbarung zur Buchung freigegeben werden. Die/Der Beschäftigte entscheidet für einen in der Betriebs-/Dienstvereinbarung festgelegten Zeitraum, welche der in Satz 1 beziehungsweise Satz 2 genannten Zeiten auf das Arbeitszeitkonto gebucht werden.</w:t>
      </w:r>
    </w:p>
    <w:p>
      <w:r>
        <w:t xml:space="preserve">(4) Im Falle einer unverzüglich angezeigten und durch ärztliches Attest nachgewiesenen Arbeitsunfähigkeit während eines Zeitausgleichs vom Arbeitszeitkonto (Zeiten nach Absatz 3 Satz 1 und 2) tritt eine Minderung des Zeitguthabens nicht ein.</w:t>
      </w:r>
    </w:p>
    <w:p>
      <w:r>
        <w:t xml:space="preserve">Niederschriftserklärung zu § 10 Absatz 4:</w:t>
      </w:r>
    </w:p>
    <w:p>
      <w:r>
        <w:t xml:space="preserve">Durch diese Regelung werden aus dem Urlaubsrecht entlehnte Ansprüche nicht begründet.</w:t>
      </w:r>
    </w:p>
    <w:p>
      <w:r>
        <w:t xml:space="preserve">(5) In der Betriebs-/Dienstvereinbarung sind insbesondere folgende Regelungen zu treffen:</w:t>
      </w:r>
    </w:p>
    <w:p>
      <w:r>
        <w:t xml:space="preserve">a) Die höchstmögliche Zeitschuld (bis zu 40 Stunden) und das höchstzulässige Zeitguthaben (bis zu einem Vielfachen von 40 Stunden), die innerhalb eines bestimmten Zeitraums anfallen dürfen;</w:t>
      </w:r>
    </w:p>
    <w:p>
      <w:r>
        <w:t xml:space="preserve">b) Fristen für das Abbuchen von Zeitguthaben oder für den Abbau von Zeitschulden durch die/den Beschäftigten;</w:t>
      </w:r>
    </w:p>
    <w:p>
      <w:r>
        <w:t xml:space="preserve">c) die Berechtigung, das Abbuchen von Zeitguthaben zu bestimmten Zeiten (zum Beispiel an so genannten Brückentagen) vorzusehen;</w:t>
      </w:r>
    </w:p>
    <w:p>
      <w:r>
        <w:t xml:space="preserve">d) die Folgen, wenn der Arbeitgeber einen bereits genehmigten Freizeitausgleich kurzfristig widerruft.</w:t>
      </w:r>
    </w:p>
    <w:p>
      <w:r>
        <w:t xml:space="preserve">(6) Der Arbeitgeber kann mit der/dem Beschäftigten die Einrichtung eines Langzeitkontos vereinbaren. In diesem Fall ist der Betriebs-/Personalrat zu beteiligen und – bei Insolvenzfähigkeit des Arbeitgebers – eine Regelung zur Insolvenzsicherung zu treffen.</w:t>
      </w:r>
    </w:p>
    <w:p>
      <w:r>
        <w:rPr>
          <w:color w:val="555555"/>
          <w:sz w:val="17"/>
        </w:rPr>
        <w:t xml:space="preserve">Zitiervorschlag: § 10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