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TVÜG — Mitteilungswesen im Übergangszeitraum</w:t>
      </w:r>
    </w:p>
    <w:p>
      <w:r>
        <w:rPr>
          <w:color w:val="555555"/>
          <w:sz w:val="18"/>
        </w:rPr>
        <w:t xml:space="preserve">Testamentsverzeichnis-Überführungsgesetz</w:t>
      </w:r>
    </w:p>
    <w:p>
      <w:r>
        <w:rPr>
          <w:color w:val="555555"/>
          <w:sz w:val="18"/>
        </w:rPr>
        <w:t xml:space="preserve">Historische Fassung: Stand 10.06.2019 bis 01.01.2021. Dies ist nicht die aktuelle Fassung.</w:t>
      </w:r>
    </w:p>
    <w:p>
      <w:r>
        <w:t xml:space="preserve">(1) Mitteilungen über Sterbefälle, deren Beurkundung oder Aufnahme als Hinweis weniger als acht Tage vor dem Übernahmestichtag wirksam wurde, bearbeitet die Registerbehörde nach § 78e der Bundesnotarordnung weiter.</w:t>
      </w:r>
    </w:p>
    <w:p>
      <w:r>
        <w:t xml:space="preserve">(2) Mitteilungen über Sterbefälle, deren Beurkundung oder Aufnahme als Hinweis acht oder mehr Tage vor dem Übernahmestichtag wirksam wurde, werden noch vom Übergeber bearbeitet. Der Übergeber leitet der Registerbehörde diese Mitteilungen jedoch ausnahmsweise zur Bearbeitung nach § 78e der Bundesnotarordnung unverzüglich zu, wenn er von ihnen</w:t>
      </w:r>
    </w:p>
    <w:p>
      <w:pPr>
        <w:ind w:left="420"/>
      </w:pPr>
      <w:r>
        <w:t xml:space="preserve">1. erst nach dem Übernahmestichtag Kenntnis erlangt oder</w:t>
      </w:r>
    </w:p>
    <w:p>
      <w:pPr>
        <w:ind w:left="420"/>
      </w:pPr>
      <w:r>
        <w:t xml:space="preserve">2. zwar vor dem Übernahmestichtag Kenntnis erlangt, aber eine Bearbeitung nach § 42 Absatz 2 der Personenstandsverordnung dennoch nicht erfolgt ist.</w:t>
      </w:r>
    </w:p>
    <w:p>
      <w:r>
        <w:rPr>
          <w:color w:val="555555"/>
          <w:sz w:val="17"/>
        </w:rPr>
        <w:t xml:space="preserve">Zitiervorschlag: § 4 TVÜG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https://recht.nulegal.eu/gesetze/TV%C3%9CG/4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