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TVÜG — Weiterverarbeitung</w:t>
      </w:r>
    </w:p>
    <w:p>
      <w:r>
        <w:rPr>
          <w:color w:val="555555"/>
          <w:sz w:val="18"/>
        </w:rPr>
        <w:t xml:space="preserve">Testamentsverzeichnis-Überführungsgesetz</w:t>
      </w:r>
    </w:p>
    <w:p>
      <w:r>
        <w:rPr>
          <w:color w:val="555555"/>
          <w:sz w:val="18"/>
        </w:rPr>
        <w:t xml:space="preserve">Historische Fassung: Stand 10.06.2019 bis 01.01.2021. Dies ist nicht die aktuelle Fassung.</w:t>
      </w:r>
    </w:p>
    <w:p>
      <w:r>
        <w:t xml:space="preserve">(1) Die Registerbehörde erfasst die übernommenen Verwahrungsnachrichten als elektronische Bilddaten (Bilddaten). Der Erfassungsvorgang muss innerhalb des Geltungsbereichs des Grundgesetzes stattfinden.</w:t>
      </w:r>
    </w:p>
    <w:p>
      <w:r>
        <w:t xml:space="preserve">(2) Die zum Auffinden der erbfolgerelevanten Urkunde erforderlichen Angaben werden in elektronische Zeichen (strukturierte Daten) überführt. Bei der Aufklärung sich dabei ergebender Unklarheiten unterstützen der Übergeber und die Verwahrstelle die Registerbehörde im Rahmen der Amtshilfe. Das gilt insbesondere bei fehlenden, unlesbaren oder widersprüchlichen Verwahrangaben.</w:t>
      </w:r>
    </w:p>
    <w:p>
      <w:r>
        <w:t xml:space="preserve">(3) In das Zentrale Testamentsregister werden die Bilddaten nach Absatz 1 und die strukturierten Daten nach Absatz 2 übernommen und darin dauerhaft gespeichert. Die Registerbehörde teilt dem Übergeber den Abschluss der Übernahme mit (Abschlussmitteilung). In der Abschlussmitteilung sind auch noch aufzuklärende Zweifelsfragen zu dokumentieren.</w:t>
      </w:r>
    </w:p>
    <w:p>
      <w:r>
        <w:rPr>
          <w:color w:val="555555"/>
          <w:sz w:val="17"/>
        </w:rPr>
        <w:t xml:space="preserve">Zitiervorschlag: § 3 TVÜG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https://recht.nulegal.eu/gesetze/TV%C3%9CG/3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