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TVÜ-Forst (Bayern) — Inkrafttreten, Laufzeit</w:t>
      </w:r>
    </w:p>
    <w:p>
      <w:r>
        <w:rPr>
          <w:color w:val="555555"/>
          <w:sz w:val="18"/>
        </w:rPr>
        <w:t xml:space="preserve">Tarifvertrag zur Überleitung der Beschäftigten der Länder aus dem Geltungsbereich des MTW/MTW-O in den TV-Forst und zur Regelung des Übergangsrechts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Januar 2008 in Kraft.</w:t>
      </w:r>
    </w:p>
    <w:p>
      <w:r>
        <w:t xml:space="preserve">(2) Dieser Tarifvertrag kann ohne Einhaltung einer Frist jederzeit schriftlich gekündigt werden.</w:t>
      </w:r>
    </w:p>
    <w:p>
      <w:r>
        <w:t xml:space="preserve">(3) § 12 einschließlich Anlagen kann ohne Einhaltung einer Frist, jedoch nur insgesamt, schriftlich gekündigt werden, frühestens zum 31. Oktober 2025; die Nachwirkung dieser Vorschriften wird ausgeschlossen.</w:t>
      </w:r>
    </w:p>
    <w:p>
      <w:r>
        <w:rPr>
          <w:color w:val="555555"/>
          <w:sz w:val="17"/>
        </w:rPr>
        <w:t xml:space="preserve">Zitiervorschlag: § 22 TVÜ-Forst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https://recht.nulegal.eu/gesetze/TV%C3%9C-Forst/22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TVÜ-Forst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