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TV EntgO-L (Bayern) — Maßgaben zum TV-L und zum TVÜ-Länder</w:t>
      </w:r>
    </w:p>
    <w:p>
      <w:r>
        <w:rPr>
          <w:color w:val="555555"/>
          <w:sz w:val="18"/>
        </w:rPr>
        <w:t xml:space="preserve">Tarifvertrag über die Eingruppierung und die Entgeltordnung für die Lehrkräfte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Eingruppierung der Lehrkräfte gilt der TV-L mit den Maßgaben in Abschnitt II.</w:t>
      </w:r>
    </w:p>
    <w:p>
      <w:r>
        <w:t xml:space="preserve">(2) Für die Überleitung der am 31. Juli 2015 vorhandenen Lehrkräfte in die Entgeltordnung Lehrkräfte (Anlage zum TV EntgO-L) gilt der Tarifvertrag zur Überleitung der Beschäftigten in den TV-L und zur Regelung des Übergangsrechts (TVÜ-Länder) mit den Maßgaben in Abschnitt III.</w:t>
      </w:r>
    </w:p>
    <w:p>
      <w:r>
        <w:rPr>
          <w:color w:val="555555"/>
          <w:sz w:val="17"/>
        </w:rPr>
        <w:t xml:space="preserve">Zitiervorschlag: § 2 TV EntgO-L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https://recht.nulegal.eu/gesetze/TV%20EntgO-L/2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