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TV EntgO-L (Bayern) — Inkrafttreten, Laufzeit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August 2015 in Kraft.</w:t>
      </w:r>
    </w:p>
    <w:p>
      <w:r>
        <w:t xml:space="preserve">(2) Dieser Tarifvertrag kann ohne Nachwirkung mit einer Frist von drei Monaten zum Schluss eines Kalenderhalbjahres gekündigt werden.</w:t>
      </w:r>
    </w:p>
    <w:p>
      <w:r>
        <w:rPr>
          <w:color w:val="555555"/>
          <w:sz w:val="17"/>
        </w:rPr>
        <w:t xml:space="preserve">Zitiervorschlag: § 12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