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TTDSG — Abhörverbot, Geheimhaltungspflicht der Betreiber von Funkanlagen</w:t>
      </w:r>
    </w:p>
    <w:p>
      <w:r>
        <w:rPr>
          <w:color w:val="555555"/>
          <w:sz w:val="18"/>
        </w:rPr>
        <w:t xml:space="preserve">Telekommunikation-Digitale-Dienste-Datenschutz-Gesetz</w:t>
      </w:r>
    </w:p>
    <w:p>
      <w:r>
        <w:rPr>
          <w:color w:val="555555"/>
          <w:sz w:val="18"/>
        </w:rPr>
        <w:t xml:space="preserve">Stand: 19.07.2022 (konsolidierte Textfassung, kein amtliches Inkrafttretensdatum)</w:t>
      </w:r>
    </w:p>
    <w:p>
      <w:r>
        <w:t xml:space="preserve">(1) Mit einer Funkanlage (§ 3 Absatz 1 Nr 1 des Funkanlagengesetzes) dürfen nur solche Nachrichten abgehört oder in vergleichbarer Weise zur Kenntnis genommen werden, die für den Betreiber der Funkanlage, für Funkamateure im Sinne des § 2 Nummer 1 des Amateurfunkgesetzes, für die Allgemeinheit oder für einen unbestimmten Personenkreis bestimmt sind.</w:t>
      </w:r>
    </w:p>
    <w:p>
      <w:r>
        <w:t xml:space="preserve">(2) Der Inhalt anderer als in Absatz 1 genannter Nachrichten sowie die Tatsache ihres Empfangs dürfen, auch wenn der Empfang unbeabsichtigt geschieht, auch von Personen, für die eine Pflicht zur Geheimhaltung nicht schon nach § 3 besteht, anderen nicht mitgeteilt werden. § 3 Absatz 4 gilt entsprechend.</w:t>
      </w:r>
    </w:p>
    <w:p>
      <w:r>
        <w:t xml:space="preserve">(3) Das Abhören oder die in vergleichbarer Weise erfolgende Kenntnisnahme und die Weitergabe von Nachrichten aufgrund besonderer gesetzlicher Ermächtigung bleiben unberührt.</w:t>
      </w:r>
    </w:p>
    <w:p>
      <w:r>
        <w:rPr>
          <w:color w:val="555555"/>
          <w:sz w:val="17"/>
        </w:rPr>
        <w:t xml:space="preserve">Zitiervorschlag: § 5 TTDSG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https://recht.nulegal.eu/gesetze/TTDSG/5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