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TTDSG — Bereitstellen von Endnutzerdaten</w:t>
      </w:r>
    </w:p>
    <w:p>
      <w:r>
        <w:rPr>
          <w:color w:val="555555"/>
          <w:sz w:val="18"/>
        </w:rPr>
        <w:t xml:space="preserve">Telekommunikation-Digitale-Dienste-Datenschutz-Gesetz</w:t>
      </w:r>
    </w:p>
    <w:p>
      <w:r>
        <w:rPr>
          <w:color w:val="555555"/>
          <w:sz w:val="18"/>
        </w:rPr>
        <w:t xml:space="preserve">Stand: 01.12.2021 (konsolidierte Textfassung, kein amtliches Inkrafttretensdatum)</w:t>
      </w:r>
    </w:p>
    <w:p>
      <w:r>
        <w:t xml:space="preserve">(1) Jeder Anbieter eines nummerngebundenen interpersonellen Telekommunikationsdienstes hat unter Beachtung der anzuwendenden datenschutzrechtlichen Regelungen jedem Unternehmen Endnutzerdaten nach § 17 Absatz 1 auf Antrag zum Zweck der Bereitstellung von öffentlich zugänglichen Auskunftsdiensten, Diensten zur Unterrichtung über einen individuellen Gesprächswunsch eines anderen Nutzers und von Endnutzerverzeichnissen bereitzustellen.</w:t>
      </w:r>
    </w:p>
    <w:p>
      <w:r>
        <w:t xml:space="preserve">(2) Für die Bereitstellung der Daten kann ein Entgelt verlangt werden. Das Entgelt unterliegt in der Regel einer nachträglichen Missbrauchsprüfung durch die Bundesnetzagentur nach Maßgabe der Bestimmungen des Telekommunikationsgesetzes zur Missbrauchsprüfung von Entgelten. Ein Entgelt kann nur dann der Entgeltgenehmigungspflicht nach dem Telekommunikationsgesetz unterworfen werden, wenn das Unternehmen, von dem die Endnutzerdaten bereitgestellt werden, auf dem Markt für Endnutzerdaten über eine beträchtliche Marktmacht verfügt.</w:t>
      </w:r>
    </w:p>
    <w:p>
      <w:r>
        <w:t xml:space="preserve">(3) Die Bereitstellung der Daten nach Absatz 1 hat unverzüglich nach einem Antrag nach Absatz 1 und in nichtdiskriminierender Weise zu erfolgen.</w:t>
      </w:r>
    </w:p>
    <w:p>
      <w:r>
        <w:t xml:space="preserve">(4) Die nach Absatz 1 bereitgestellten Daten müssen vollständig sein und inhaltlich sowie technisch so aufbereitet sein, dass sie nach dem jeweiligen Stand der Technik ohne Schwierigkeiten in ein kundenfreundlich gestaltetes Endnutzerverzeichnis oder in eine entsprechende Auskunftsdienste-Datenbank aufgenommen werden können.</w:t>
      </w:r>
    </w:p>
    <w:p>
      <w:r>
        <w:rPr>
          <w:color w:val="555555"/>
          <w:sz w:val="17"/>
        </w:rPr>
        <w:t xml:space="preserve">Zitiervorschlag: § 18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