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TTDSG — Einzelverbindungsnachweis</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Dem Endnutzer sind die Verkehrsdaten nach § 9 Absatz 1 Satz 1 Nummer 1 bis 3 derjenigen Verbindungen, für die er entgeltpflichtig ist, durch Anbieter und mitwirkende Personen nach § 3 Absatz 2 Satz 1 Nummer 1 und 2 mitzuteilen, wenn er vor dem maßgeblichen Abrechnungszeitraum einen Einzelverbindungsnachweis verlangt hat. Auf Wunsch dürfen ihm auch die Daten pauschal abgegoltener Verbindungen mitgeteilt werden. Dabei entscheidet der Endnutzer, ob ihm die von ihm gewählten Rufnummern ungekürzt oder unter Kürzung um die letzten drei Ziffern mitgeteilt werden. Bei einem Teilnehmeranschluss im Haushalt ist die Mitteilung nur zulässig, wenn der Anschlussinhaber in Textform erklärt hat, dass er alle zum Haushalt gehörenden Personen, die den Teilnehmeranschluss nutzen, darüber informiert hat und künftige Mitnutzer des Teilnehmeranschlusses unverzüglich darüber informieren wird, dass dem Inhaber des Teilnehmeranschlusses die Verkehrsdaten nach Satz 1 zur Erteilung des Einzelverbindungsnachweises bekannt gegeben werden.</w:t>
      </w:r>
    </w:p>
    <w:p>
      <w:r>
        <w:t xml:space="preserve">(2) Unbeschadet des Absatzes 1 dürfen dem Endnutzer die Verkehrsdaten nach Absatz 1 Satz 1 mitgeteilt werden, wenn er Einwendungen gegen die Höhe der Verbindungsentgelte erhoben hat. Das gilt auch für einen Mobilfunkanschluss.</w:t>
      </w:r>
    </w:p>
    <w:p>
      <w:r>
        <w:t xml:space="preserve">(3) Bei Teilnehmeranschlüssen in Betrieben und Behörden ist die Mitteilung nur zulässig, wenn der Inhaber des Teilnehmeranschlusses in Textform erklärt hat, dass die Mitarbeiter informiert worden sind und künftige Mitarbeiter unverzüglich informiert werden und dass der Betriebsrat oder die Personalvertretung entsprechend den gesetzlichen Vorschriften beteiligt worden ist oder eine solche Beteiligung nicht erforderlich ist. Soweit die öffentlich-rechtlichen Religionsgesellschaften für ihren Bereich eigene Mitarbeitervertreterregelungen erlassen haben, findet Satz 1 mit der Maßgabe Anwendung, dass an die Stelle des Betriebsrates oder der Personalvertretung die jeweilige Mitarbeitervertretung tritt.</w:t>
      </w:r>
    </w:p>
    <w:p>
      <w:r>
        <w:t xml:space="preserve">(4) Soweit ein Anschlussinhaber zur vollständigen oder teilweisen Übernahme der Entgelte für Verbindungen verpflichtet ist, die bei seinem Anschluss ankommen, dürfen ihm in dem für ihn bestimmten Einzelverbindungsnachweis die Nummern der Anschlüsse, von denen die Anrufe ausgingen, nur unter Kürzung um die letzten drei Ziffern mitgeteilt werden.</w:t>
      </w:r>
    </w:p>
    <w:p>
      <w:r>
        <w:t xml:space="preserve">(5) Der Einzelverbindungsnachweis nach Absatz 1 Satz 1 darf nicht Verbindungen zu Anschlüssen erkennen lassen,</w:t>
      </w:r>
    </w:p>
    <w:p>
      <w:pPr>
        <w:ind w:left="420"/>
      </w:pPr>
      <w:r>
        <w:t xml:space="preserve">1. deren Inhaber Personen, Behörden oder Organisationen in sozialen oder kirchlichen Bereichen sind, die grundsätzlich anonym bleibenden Endnutzern ganz oder überwiegend telefonische Beratung in seelischen oder sozialen Notlagen anbieten und die selbst oder deren Mitarbeiter insoweit besonderen Verpflichtungen zur Verschwiegenheit unterliegen, und</w:t>
      </w:r>
    </w:p>
    <w:p>
      <w:pPr>
        <w:ind w:left="420"/>
      </w:pPr>
      <w:r>
        <w:t xml:space="preserve">2. die die Bundesnetzagentur für Elektrizität, Gas, Telekommunikation, Post und Eisenbahnen (Bundesnetzagentur) in eine Liste aufgenommen hat.</w:t>
      </w:r>
    </w:p>
    <w:p>
      <w:r>
        <w:t xml:space="preserve">(6) Der Beratung im Sinne des Absatzes 5 Nummer 1 dienen neben den in § 203 Absatz 1 Nummer 4 und 5 des Strafgesetzbuches genannten Personengruppen insbesondere die Telefonseelsorge und die Gesundheitsberatung. Die Bundesnetzagentur nimmt die Inhaber der Anschlüsse auf Antrag in die Liste auf, wenn sie die Aufgabenbestimmung nach Absatz 5 Nummer 1 durch Bescheinigung einer Behörde oder Körperschaft, Anstalt oder Stiftung des öffentlichen Rechts nachgewiesen haben. Die Liste wird zum Abruf im automatisierten Verfahren bereitgestellt. Die Verpflichteten nach § 3 Absatz 2 Satz 1, die Einzelverbindungsnachweise erstellen, haben die Liste quartalsweise abzufragen und Änderungen unverzüglich in ihren Abrechnungsverfahren anzuwenden.</w:t>
      </w:r>
    </w:p>
    <w:p>
      <w:r>
        <w:rPr>
          <w:color w:val="555555"/>
          <w:sz w:val="17"/>
        </w:rPr>
        <w:t xml:space="preserve">Zitiervorschlag: § 11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