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TTDSG — Anwendungsbereich des Gesetzes</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(1) Dieses Gesetz regelt</w:t>
      </w:r>
    </w:p>
    <w:p>
      <w:pPr>
        <w:ind w:left="420"/>
      </w:pPr>
      <w:r>
        <w:t xml:space="preserve">1. das Fernmeldegeheimnis, einschließlich des Abhörverbotes und der Geheimhaltungspflicht der Betreiber von Funkanlagen,</w:t>
      </w:r>
    </w:p>
    <w:p>
      <w:pPr>
        <w:ind w:left="420"/>
      </w:pPr>
      <w:r>
        <w:t xml:space="preserve">2. besondere Vorschriften zum Schutz personenbezogener Daten bei der Nutzung von Telekommunikationsdiensten und digitalen Diensten,</w:t>
      </w:r>
    </w:p>
    <w:p>
      <w:pPr>
        <w:ind w:left="420"/>
      </w:pPr>
      <w:r>
        <w:t xml:space="preserve">3. die Anforderungen an den Schutz der Privatsphäre im Hinblick auf die Mitteilung ankommender Verbindungen, die Rufnummernunterdrückung und -anzeige und die automatische Anrufweiterschaltung,</w:t>
      </w:r>
    </w:p>
    <w:p>
      <w:pPr>
        <w:ind w:left="420"/>
      </w:pPr>
      <w:r>
        <w:t xml:space="preserve">4. die Anforderungen an die Aufnahme in Endnutzerverzeichnisse und die Bereitstellung von Endnutzerdaten an Auskunftsdienste, Dienste zur Unterrichtung über einen individuellen Gesprächswunsch eines anderen Nutzers und Anbieter von Endnutzerverzeichnissen,</w:t>
      </w:r>
    </w:p>
    <w:p>
      <w:pPr>
        <w:ind w:left="420"/>
      </w:pPr>
      <w:r>
        <w:t xml:space="preserve">5. die von Anbietern von digitalen Diensten zu beachtenden technischen und organisatorischen Vorkehrungen,</w:t>
      </w:r>
    </w:p>
    <w:p>
      <w:pPr>
        <w:ind w:left="420"/>
      </w:pPr>
      <w:r>
        <w:t xml:space="preserve">6. die Anforderungen an die Erteilung von Auskünften über Bestands- und Nutzungsdaten durch Anbieter von digitalen Diensten,</w:t>
      </w:r>
    </w:p>
    <w:p>
      <w:pPr>
        <w:ind w:left="420"/>
      </w:pPr>
      <w:r>
        <w:t xml:space="preserve">7. den Schutz der Privatsphäre bei Endeinrichtungen hinsichtlich der Anforderungen an die Speicherung von Informationen in Endeinrichtungen der Endnutzer und den Zugriff auf Informationen, die bereits in Endeinrichtungen der Endnutzer gespeichert sind, und</w:t>
      </w:r>
    </w:p>
    <w:p>
      <w:pPr>
        <w:ind w:left="420"/>
      </w:pPr>
      <w:r>
        <w:t xml:space="preserve">8. die Aufsichtsbehörden und die Aufsicht im Hinblick auf den Datenschutz und den Schutz der Privatsphäre in der Telekommunikation; bei digitalen Diensten bleiben die Aufsicht durch die nach Landesrecht zuständigen Behörden und § 40 des Bundesdatenschutzgesetzes unberührt.</w:t>
      </w:r>
    </w:p>
    <w:p>
      <w:r>
        <w:t xml:space="preserve">(2) Dem Fernmeldegeheimnis unterliegende Einzelangaben über Verhältnisse einer bestimmten oder bestimmbaren juristischen Person oder Personengesellschaft, die mit der Fähigkeit ausgestattet ist, Rechte zu erwerben oder Verbindlichkeiten einzugehen, stehen den personenbezogenen Daten gleich.</w:t>
      </w:r>
    </w:p>
    <w:p>
      <w:r>
        <w:t xml:space="preserve">(3) Diesem Gesetz unterliegen alle Unternehmen und Personen, die im Geltungsbereich dieses Gesetzes eine Niederlassung haben oder Dienstleistungen erbringen oder daran mitwirken oder Waren auf dem Markt bereitstellen. § 3 des Digitale-Dienste-Gesetzes bleibt unberührt.</w:t>
      </w:r>
    </w:p>
    <w:p>
      <w:r>
        <w:rPr>
          <w:color w:val="555555"/>
          <w:sz w:val="17"/>
        </w:rPr>
        <w:t xml:space="preserve">Zitiervorschlag: § 1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