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TSG — Gerichtliches Verfahren</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Kann dem Antrag nur deshalb nicht stattgegeben werden, weil der Antragsteller sich einem seine äußeren Geschlechtsmerkmale verändernden operativen Eingriff noch nicht unterzogen hat oder noch nicht dauernd fortpflanzungsunfähig ist, so stellt das Gericht dies vorab fest. Gegen die Entscheidung steht den Beteiligten die sofortige Beschwerde zu.</w:t>
      </w:r>
    </w:p>
    <w:p>
      <w:r>
        <w:t xml:space="preserve">(2) Ist die Entscheidung nach Absatz 1 Satz 1 unanfechtbar und sind die dort genannten Hinderungsgründe inzwischen entfallen, so trifft das Gericht die Entscheidung nach § 8. Dabei ist es an seine Feststellungen in der Entscheidung nach Absatz 1 Satz 1 gebunden.</w:t>
      </w:r>
    </w:p>
    <w:p>
      <w:r>
        <w:t xml:space="preserve">(3) Die §§ 2 bis 4 und 6 gelten entsprechend; die Gutachten sind auch darauf zu erstrecken, ob die Voraussetzungen nach § 8 Abs. 1 Nr. 3 und 4 vorliegen. In der Entscheidung auf Grund von § 8 und in der Endentscheidung nach Absatz 2 sind auch die Vornamen des Antragstellers zu ändern, es sei denn, daß diese bereits auf Grund von § 1 geändert worden sind.</w:t>
      </w:r>
    </w:p>
    <w:p>
      <w:r>
        <w:rPr>
          <w:color w:val="555555"/>
          <w:sz w:val="17"/>
        </w:rPr>
        <w:t xml:space="preserve">Zitiervorschlag: § 9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