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TSG — Offenbarungsverbot</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Ist die Entscheidung, durch welche die Vornamen des Antragstellers geändert werden, rechtskräftig, so dürfen die zur Zeit der Entscheidung geführten Vornamen ohne Zustimmung des Antragstellers nicht offenbart oder ausgeforscht werden, es sei denn, daß besondere Gründe des öffentlichen Interesses dies erfordern oder ein rechtliches Interesse glaubhaft gemacht wird.</w:t>
      </w:r>
    </w:p>
    <w:p>
      <w:r>
        <w:t xml:space="preserve">(2) Der frühere Ehegatte, die Eltern, die Großeltern und die Abkömmlinge des Antragstellers sind nur dann verpflichtet, die neuen Vornamen anzugeben, wenn dies für die Führung öffentlicher Bücher und Register erforderlich ist. Dies gilt nicht für Kinder, die der Antragsteller nach der Rechtskraft der Entscheidung nach § 1 angenommen hat.</w:t>
      </w:r>
    </w:p>
    <w:p>
      <w:r>
        <w:t xml:space="preserve">(3) In dem Geburtseintrag eines leiblichen Kindes des Antragstellers oder eines Kindes, das der Antragsteller vor der Rechtskraft der Entscheidung nach § 1 angenommen hat, sind bei dem Antragsteller die Vornamen anzugeben, die vor der Rechtskraft der Entscheidung nach § 1 maßgebend waren.</w:t>
      </w:r>
    </w:p>
    <w:p>
      <w:r>
        <w:rPr>
          <w:color w:val="555555"/>
          <w:sz w:val="17"/>
        </w:rPr>
        <w:t xml:space="preserve">Zitiervorschlag: § 5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