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TSG — Verfahrensfähigkeit, Beteiligte</w:t>
      </w:r>
    </w:p>
    <w:p>
      <w:r>
        <w:rPr>
          <w:color w:val="555555"/>
          <w:sz w:val="18"/>
        </w:rPr>
        <w:t xml:space="preserve">Transsexuellengesetz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(1) Für eine geschäftsunfähige Person wird das Verfahren durch den gesetzlichen Vertreter geführt. Der gesetzliche Vertreter bedarf für einen Antrag nach § 1 der Genehmigung des Familiengerichts.</w:t>
      </w:r>
    </w:p>
    <w:p>
      <w:r>
        <w:t xml:space="preserve">(2) Beteiligter des Verfahrens ist nur der Antragsteller oder die Antragstellerin.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3 TSG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