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TSG — Inkrafttreten</w:t>
      </w:r>
    </w:p>
    <w:p>
      <w:r>
        <w:rPr>
          <w:color w:val="555555"/>
          <w:sz w:val="18"/>
        </w:rPr>
        <w:t xml:space="preserve">Transsexuellengesetz</w:t>
      </w:r>
    </w:p>
    <w:p>
      <w:r>
        <w:rPr>
          <w:color w:val="555555"/>
          <w:sz w:val="18"/>
        </w:rPr>
        <w:t xml:space="preserve">Historische Fassung: Stand 10.06.2019 bis 01.11.2024. Dies ist nicht die aktuelle Fassung.</w:t>
      </w:r>
    </w:p>
    <w:p>
      <w:r>
        <w:t xml:space="preserve">§ 2 Abs. 1 Satz 3 bis 5, § 3 Abs. 3 und § 9 Abs. 3 Satz 1, soweit er auf § 2 Abs. 1 Satz 3 bis 5 und § 3 Abs. 3 verweist, treten am Tage nach der Verkündung in Kraft. Im übrigen tritt das Gesetz am 1. Januar 1981 in Kraft.</w:t>
      </w:r>
    </w:p>
    <w:p>
      <w:r>
        <w:rPr>
          <w:color w:val="555555"/>
          <w:sz w:val="17"/>
        </w:rPr>
        <w:t xml:space="preserve">Zitiervorschlag: § 18 TSG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https://recht.nulegal.eu/gesetze/TSG/18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