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TSG — Übergangsvorschrift</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Ist vor Inkrafttreten dieses Gesetzes auf Grund des § 47 des Personenstandsgesetzes wirksam angeordnet, daß die Geschlechtsangabe im Geburtseintrag einer Person zu ändern ist, weil diese Person nunmehr als dem anderen Geschlecht zugehörig anzusehen ist, so gelten auch für diese Person die §§ 10 bis 12 dieses Gesetzes sowie § 61 Abs. 4 und § 65a Abs. 2 des Personenstandsgesetzes in der Fassung des § 15 Nr. 2 und 4 dieses Gesetzes.</w:t>
      </w:r>
    </w:p>
    <w:p>
      <w:r>
        <w:t xml:space="preserve">(2) Ist die Person im Zeitpunkt der gerichtlichen Anordnung verheiratet gewesen und ist ihre Ehe nicht inzwischen für nichtig erklärt, aufgehoben oder geschieden worden, so gilt die Ehe mit dem Inkrafttreten dieses Gesetzes als aufgelöst. Die Folgen der Auflösung bestimmen sich nach den Vorschriften über die Scheidung.</w:t>
      </w:r>
    </w:p>
    <w:p>
      <w:r>
        <w:t xml:space="preserve">(3) Hat eine Person vor Inkrafttreten dieses Gesetzes bei dem nach § 50 des Personenstandsgesetzes zuständigen Gericht beantragt anzuordnen, daß die Geschlechtsangabe in ihrem Geburtseintrag zu ändern ist, weil diese Person nunmehr als dem anderen Geschlecht zugehörig anzusehen ist, und ist eine wirksame Anordnung bei Inkrafttreten des Gesetzes noch nicht ergangen, so hat das damit befaßte Gericht die Sache an das nach § 9 Abs. 3 in Verbindung mit § 2 dieses Gesetzes zuständige Gericht abzugeben; für das weitere Verfahren gelten die Vorschriften dieses Gesetzes.</w:t>
      </w:r>
    </w:p>
    <w:p>
      <w:r>
        <w:rPr>
          <w:color w:val="555555"/>
          <w:sz w:val="17"/>
        </w:rPr>
        <w:t xml:space="preserve">Zitiervorschlag: § 16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