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TSG — Wirkungen der Entscheidung</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(1) Von der Rechtskraft der Entscheidung an, daß der Antragsteller als dem anderen Geschlecht zugehörig anzusehen ist, richten sich seine vom Geschlecht abhängigen Rechte und Pflichten nach dem neuen Geschlecht, soweit durch Gesetz nichts anderes bestimmt ist.</w:t>
      </w:r>
    </w:p>
    <w:p>
      <w:r>
        <w:t xml:space="preserve">(2) § 5 gilt sinngemäß.</w:t>
      </w:r>
    </w:p>
    <w:p>
      <w:r>
        <w:rPr>
          <w:color w:val="555555"/>
          <w:sz w:val="17"/>
        </w:rPr>
        <w:t xml:space="preserve">Zitiervorschlag: § 10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