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TSEVorsorgV</w:t>
      </w:r>
    </w:p>
    <w:p>
      <w:r>
        <w:rPr>
          <w:color w:val="555555"/>
          <w:sz w:val="18"/>
        </w:rPr>
        <w:t xml:space="preserve">TSE-Vorsorgeverordnung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79a Abs. 2 Nr. 4 in Verbindung mit den §§ 18, 20 Abs. 1 Nr. 2 und § 24 Abs. 1 und 2 und des § 79a Abs. 2 Nr. 6 in Verbindung mit § 78 Nr. 1 Buchstabe a, jeweils auch in Verbindung mit § 79a Abs. 1 Satz 1 und § 79b, des Tierseuchengesetzes in der Fassung der Bekanntmachung vom 22. Juni 2004 (BGBl. I S. 1260), von denen § 79a Abs. 1 Satz 1 durch Artikel 2 § 3 Abs. 5 des Gesetzes vom 1. September 2005 (BGBl. I S. 2618) geändert worden ist, in Verbindung mit § 3 Abs. 2 des Zuständigkeitsanpassungsgesetzes vom 16. August 2002 (BGBl. I S. 3165) und dem Organisationserlass vom 22. November 2005 (BGBl. I S. 3197) verordnet das Bundesministerium Ernährung, Landwirtschaft und Verbraucherschutz:</w:t>
      </w:r>
    </w:p>
    <w:p>
      <w:r>
        <w:rPr>
          <w:color w:val="555555"/>
          <w:sz w:val="17"/>
        </w:rPr>
        <w:t xml:space="preserve">Zitiervorschlag: Eingangsformel TSEVorsorgV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https://recht.nulegal.eu/gesetze/TSEVorsorgV/eingangsformel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