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TSEVorsorgV — Inkrafttreten, Außerkrafttreten</w:t>
      </w:r>
    </w:p>
    <w:p>
      <w:r>
        <w:rPr>
          <w:color w:val="555555"/>
          <w:sz w:val="18"/>
        </w:rPr>
        <w:t xml:space="preserve">TSE-Vorsorgeverordnung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TSEVorsorgV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https://recht.nulegal.eu/gesetze/TSEVorsorgV/3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