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TSEResZV</w:t>
      </w:r>
    </w:p>
    <w:p>
      <w:r>
        <w:rPr>
          <w:color w:val="555555"/>
          <w:sz w:val="18"/>
        </w:rPr>
        <w:t xml:space="preserve">TSE-Resistenzzuchtverordnung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79a Abs. 2 Nr. 1 in Verbindung mit § 17 Abs. 1 Nr. 1 und 4a, des § 79a Abs. 2 Nr. 2 in Verbindung mit § 17b Abs. 1 Nr. 1, 2 und 4 Buchstabe c, des § 79a Abs. 2 Nr. 4 in Verbindung mit § 20 Abs. 1 Nr. 2, des § 79a Abs. 2 Nr. 5 in Verbindung mit § 73a Satz 1 und 2 Nr. 4 und 5 Buchstabe b sowie des § 79a Abs. 2 Nr. 6 in Verbindung mit § 78 Nr. 1 Buchstabe a, jeweils auch in Verbindung mit § 79b des Tierseuchengesetzes in der Fassung der Bekanntmachung vom 22. Juni 2004 (BGBl. I S. 1260), verordnet das Bundesministerium für Verbraucherschutz, Ernährung und Landwirtschaft:</w:t>
      </w:r>
    </w:p>
    <w:p>
      <w:r>
        <w:rPr>
          <w:color w:val="555555"/>
          <w:sz w:val="17"/>
        </w:rPr>
        <w:t xml:space="preserve">Zitiervorschlag: Eingangsformel TSEResZV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https://recht.nulegal.eu/gesetze/TSEResZV/eingangsformel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