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TSEResZV — Ordnungswidrigkeiten</w:t>
      </w:r>
    </w:p>
    <w:p>
      <w:r>
        <w:rPr>
          <w:color w:val="555555"/>
          <w:sz w:val="18"/>
        </w:rPr>
        <w:t xml:space="preserve">TSE-Resistenzzuchtverordnung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32 Absatz 2 Nummer 4 Buchstabe a des Tiergesundheitsgesetzes handelt, wer vorsätzlich oder fahrlässig</w:t>
      </w:r>
    </w:p>
    <w:p>
      <w:pPr>
        <w:ind w:left="420"/>
      </w:pPr>
      <w:r>
        <w:t xml:space="preserve">1. entgegen § 2 Abs. 1, auch in Verbindung mit Abs. 2, einen Schafbock oder dessen Samen zur Zucht verwendet,</w:t>
      </w:r>
    </w:p>
    <w:p>
      <w:pPr>
        <w:ind w:left="420"/>
      </w:pPr>
      <w:r>
        <w:t xml:space="preserve">2. entgegen § 5 Abs. 1 Nr. 1 Buchstabe a, auch in Verbindung mit § 2 Abs. 2, nicht sicherstellt, dass ein Schafbock innerhalb des dort genannten Zeitraums geschlachtet oder kastriert wird,</w:t>
      </w:r>
    </w:p>
    <w:p>
      <w:pPr>
        <w:ind w:left="420"/>
      </w:pPr>
      <w:r>
        <w:t xml:space="preserve">3. entgegen § 5 Abs. 1 Nr. 1 Buchstabe b oder Nr. 2, auch in Verbindung mit § 2 Abs. 2, nicht sicherstellt, dass ein Schafbock oder ein weibliches Schaf unmittelbar zur Schlachtung verbracht wird, oder</w:t>
      </w:r>
    </w:p>
    <w:p>
      <w:pPr>
        <w:ind w:left="420"/>
      </w:pPr>
      <w:r>
        <w:t xml:space="preserve">4. entgegen § 5 Abs. 1 Nr. 3, auch in Verbindung mit § 2 Abs. 2, nicht sicherstellt, dass nur dort genannte Schafböcke oder Samen zur Zucht verwendet werden.</w:t>
      </w:r>
    </w:p>
    <w:p>
      <w:r>
        <w:rPr>
          <w:color w:val="555555"/>
          <w:sz w:val="17"/>
        </w:rPr>
        <w:t xml:space="preserve">Zitiervorschlag: § 9 TSEResZV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https://recht.nulegal.eu/gesetze/TSEResZV/9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