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TSEResZV — Beschränkungen</w:t>
      </w:r>
    </w:p>
    <w:p>
      <w:r>
        <w:rPr>
          <w:color w:val="555555"/>
          <w:sz w:val="18"/>
        </w:rPr>
        <w:t xml:space="preserve">TSE-Resistenzzuchtverordnung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Halter eines Schafbestandes mit hohem genetischem Wert hat sicherzustellen, dass</w:t>
      </w:r>
    </w:p>
    <w:p>
      <w:pPr>
        <w:ind w:left="420"/>
      </w:pPr>
      <w:r>
        <w:t xml:space="preserve">1. ein Schafbock, der Träger eines VRQ-Allels ist,</w:t>
      </w:r>
    </w:p>
    <w:p>
      <w:pPr>
        <w:ind w:left="780"/>
      </w:pPr>
      <w:r>
        <w:t xml:space="preserve">a) innerhalb von sechs Monaten nach der Genotypisierung geschlachtet oder kastriert wird und</w:t>
      </w:r>
    </w:p>
    <w:p>
      <w:pPr>
        <w:ind w:left="780"/>
      </w:pPr>
      <w:r>
        <w:t xml:space="preserve">b) aus dem Bestand nur unmittelbar zur Schlachtung verbracht wird, soweit der Schafbock nicht kastriert ist,</w:t>
      </w:r>
    </w:p>
    <w:p>
      <w:pPr>
        <w:ind w:left="420"/>
      </w:pPr>
      <w:r>
        <w:t xml:space="preserve">2. ein weibliches Schaf, das als Träger eines VRQ-Allels bekannt ist, aus dem Bestand nur unmittelbar zur Schlachtung verbracht wird und</w:t>
      </w:r>
    </w:p>
    <w:p>
      <w:pPr>
        <w:ind w:left="420"/>
      </w:pPr>
      <w:r>
        <w:t xml:space="preserve">3. nur Schafböcke oder Samen von Schafböcken zur Zucht verwendet werden, die kein VRQ-Allel aufweisen.</w:t>
      </w:r>
    </w:p>
    <w:p>
      <w:r>
        <w:t xml:space="preserve">(2) Absatz 1 gilt nicht für Schafbestände, deren Rasse in Anlage 2 aufgeführt ist.</w:t>
      </w:r>
    </w:p>
    <w:p>
      <w:r>
        <w:rPr>
          <w:color w:val="555555"/>
          <w:sz w:val="17"/>
        </w:rPr>
        <w:t xml:space="preserve">Zitiervorschlag: § 5 TSEResZV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https://recht.nulegal.eu/gesetze/TSEResZV/5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