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TSEResZV — Inkrafttreten</w:t>
      </w:r>
    </w:p>
    <w:p>
      <w:r>
        <w:rPr>
          <w:color w:val="555555"/>
          <w:sz w:val="18"/>
        </w:rPr>
        <w:t xml:space="preserve">TSE-Resistenzzuchtverordnung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10 TSEResZV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https://recht.nulegal.eu/gesetze/TSEResZV/10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