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TSEAMV — Inkrafttreten, Außerkrafttreten</w:t>
      </w:r>
    </w:p>
    <w:p>
      <w:r>
        <w:rPr>
          <w:color w:val="555555"/>
          <w:sz w:val="18"/>
        </w:rPr>
        <w:t xml:space="preserve">Arzneimittel-TSE-Verordnung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15. Mai 2001 in Kraft.</w:t>
      </w:r>
    </w:p>
    <w:p>
      <w:r>
        <w:rPr>
          <w:color w:val="555555"/>
          <w:sz w:val="17"/>
        </w:rPr>
        <w:t xml:space="preserve">Zitiervorschlag: § 5 TSEAMV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https://recht.nulegal.eu/gesetze/TSEAMV/5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