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TSEAMV — Straftaten und Ordnungswidrigkeiten</w:t>
      </w:r>
    </w:p>
    <w:p>
      <w:r>
        <w:rPr>
          <w:color w:val="555555"/>
          <w:sz w:val="18"/>
        </w:rPr>
        <w:t xml:space="preserve">Arzneimittel-TSE-Verordnung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95 Abs. 1 Nr. 2, Abs. 2 bis 4 des Arzneimittelgesetzes wird bestraft, wer vorsätzlich oder fahrlässig entgegen § 1 Abs. 4 ein Arzneimittel in den Verkehr bringt.</w:t>
      </w:r>
    </w:p>
    <w:p>
      <w:r>
        <w:t xml:space="preserve">(2) Nach § 96 Nummer 2 des Arzneimittelgesetzes wird bestraft, wer entgegen § 1 Abs. 1 oder 2 einen Stoff, eine Zubereitung oder einen Gegenstand verwendet.</w:t>
      </w:r>
    </w:p>
    <w:p>
      <w:r>
        <w:t xml:space="preserve">(3) Wer eine in Absatz 2 bezeichnete Handlung fahrlässig begeht, handelt nach § 97 Abs. 1 des Arzneimittelgesetzes ordnungswidrig.</w:t>
      </w:r>
    </w:p>
    <w:p>
      <w:r>
        <w:t xml:space="preserve">(4) Ordnungswidrig im Sinne des § 97 Abs. 2 Nr. 31 des Arzneimittelgesetzes handelt, wer entgegen § 2 Satz 1 eine Erklärung nicht oder nicht rechtzeitig vorlegt.</w:t>
      </w:r>
    </w:p>
    <w:p>
      <w:r>
        <w:rPr>
          <w:color w:val="555555"/>
          <w:sz w:val="17"/>
        </w:rPr>
        <w:t xml:space="preserve">Zitiervorschlag: § 3 TSEAMV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https://recht.nulegal.eu/gesetze/TSEAMV/3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