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TSEÜberwV 2001 — Weitergehende Maßnahmen der zuständigen Behörde</w:t>
      </w:r>
    </w:p>
    <w:p>
      <w:r>
        <w:rPr>
          <w:color w:val="555555"/>
          <w:sz w:val="18"/>
        </w:rPr>
        <w:t xml:space="preserve">TSE-Überwachungsverordnung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Unbeschadet der TSE-Vorsorgeverordnung bleibt die Befugnis der zuständigen Behörde, im Rahmen des Artikels 4 der Verordnung (EG) Nr. 999/2001 bei Feststellung des Verdachts oder des Ausbruchs einer transmissiblen spongiformen Enzephalopathie abweichend von Artikel 12 oder Artikel 13 der Verordnung (EG) Nr. 999/2001 weitergehende, auf den Bestand des betreffenden Tieres bezogene Maßnahmen nach § 38 Absatz 11 in Verbindung mit § 6 Absatz 1 Nummer 3, 4, 10 bis 20, 23 bis 25 und 29 sowie Absatz 3 bis 5, jeweils auch in Verbindung mit § 39 Absatz 2, des Tiergesundheitsgesetzes anzuordnen, unberührt.</w:t>
      </w:r>
    </w:p>
    <w:p>
      <w:r>
        <w:rPr>
          <w:color w:val="555555"/>
          <w:sz w:val="17"/>
        </w:rPr>
        <w:t xml:space="preserve">Zitiervorschlag: § 3 TSEÜberwV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https://recht.nulegal.eu/gesetze/TSE%C3%9CberwV%202001/3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