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TPG — Entnahme von Knochenmark bei minderjährigen Personen</w:t>
      </w:r>
    </w:p>
    <w:p>
      <w:r>
        <w:rPr>
          <w:color w:val="555555"/>
          <w:sz w:val="18"/>
        </w:rPr>
        <w:t xml:space="preserve">Transplantationsgesetz</w:t>
      </w:r>
    </w:p>
    <w:p>
      <w:r>
        <w:rPr>
          <w:color w:val="555555"/>
          <w:sz w:val="18"/>
        </w:rPr>
        <w:t xml:space="preserve">Stand: 01.06.2026 (konsolidierte Textfassung, kein amtliches Inkrafttretensdatum)</w:t>
      </w:r>
    </w:p>
    <w:p>
      <w:r>
        <w:t xml:space="preserve">Die Entnahme von Knochenmark bei einer minderjährigen Person zum Zwecke der Übertragung ist abweichend von § 8 Absatz 1 Satz 1 Nummer 1 Buchstabe a und b und Nummer 2 mit folgender Maßgabe zulässig:</w:t>
      </w:r>
    </w:p>
    <w:p>
      <w:pPr>
        <w:ind w:left="420"/>
      </w:pPr>
      <w:r>
        <w:t xml:space="preserve">1. die Verwendung des Knochenmarks ist für Verwandte ersten Grades oder Geschwister der minderjährigen Person vorgesehen,</w:t>
      </w:r>
    </w:p>
    <w:p>
      <w:pPr>
        <w:ind w:left="420"/>
      </w:pPr>
      <w:r>
        <w:t xml:space="preserve">2. die Übertragung des Knochenmarks auf den vorgesehenen Empfänger ist nach ärztlicher Beurteilung geeignet, bei ihm eine lebensbedrohende Krankheit zu heilen,</w:t>
      </w:r>
    </w:p>
    <w:p>
      <w:pPr>
        <w:ind w:left="420"/>
      </w:pPr>
      <w:r>
        <w:t xml:space="preserve">3. ein geeigneter Spender nach § 8 Absatz 1 Satz 1 Nummer 1 steht im Zeitpunkt der Entnahme des Knochenmarks nicht zur Verfügung,</w:t>
      </w:r>
    </w:p>
    <w:p>
      <w:pPr>
        <w:ind w:left="420"/>
      </w:pPr>
      <w:r>
        <w:t xml:space="preserve">4. der gesetzliche Vertreter hat in die Entnahme und die Verwendung des Knochenmarks eingewilligt, nachdem er entsprechend § 8 Absatz 2 Satz 1 bis 3 und 6 aufgeklärt und entsprechend § 8 Absatz 3 Satz 1 Nummer 1 informiert worden ist,</w:t>
      </w:r>
    </w:p>
    <w:p>
      <w:pPr>
        <w:ind w:left="420"/>
      </w:pPr>
      <w:r>
        <w:t xml:space="preserve">5. die minderjährige Person lehnt die beabsichtigte Entnahme oder Verwendung nicht ab und bringt dies nicht in sonstiger Weise zum Ausdruck, nachdem sie, soweit dies im Hinblick auf ihr Alter und ihre geistige Reife möglich ist, durch einen Arzt entsprechend § 8 Absatz 2 Satz 1, 2, 3 und 6 aufgeklärt und entsprechend § 8 Absatz 3 Satz 1 Nummer 1 informiert worden ist,</w:t>
      </w:r>
    </w:p>
    <w:p>
      <w:pPr>
        <w:ind w:left="420"/>
      </w:pPr>
      <w:r>
        <w:t xml:space="preserve">6. die minderjährige Person, sofern sie in der Lage ist, Wesen, Bedeutung und Tragweite der Entnahme zu erkennen und ihren Willen hiernach auszurichten, hat eingewilligt.</w:t>
      </w:r>
    </w:p>
    <w:p>
      <w:r>
        <w:t xml:space="preserve">Soll das Knochenmark der minderjährigen Person für Verwandte ersten Grades verwendet werden, hat der gesetzliche Vertreter dies dem Familiengericht unverzüglich anzuzeigen, um eine Entscheidung nach § 1629 Absatz 2 Satz 3 in Verbindung mit § 1789 Absatz 2 Satz 3 und 4 des Bürgerlichen Gesetzbuches herbeizuführen.</w:t>
      </w:r>
    </w:p>
    <w:p>
      <w:r>
        <w:rPr>
          <w:color w:val="555555"/>
          <w:sz w:val="17"/>
        </w:rPr>
        <w:t xml:space="preserve">Zitiervorschlag: § 8b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