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TPG — Achtung der Würde des Organ- und Gewebespenders</w:t>
      </w:r>
    </w:p>
    <w:p>
      <w:r>
        <w:rPr>
          <w:color w:val="555555"/>
          <w:sz w:val="18"/>
        </w:rPr>
        <w:t xml:space="preserve">Transplantationsgesetz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Organ- oder Gewebeentnahme bei verstorbenen Personen und alle mit ihr zusammenhängenden Maßnahmen müssen unter Achtung der Würde des Organ- oder Gewebespenders in einer der ärztlichen Sorgfaltspflicht entsprechenden Weise durchgeführt werden.</w:t>
      </w:r>
    </w:p>
    <w:p>
      <w:r>
        <w:t xml:space="preserve">(2) Der Leichnam des Organ- oder Gewebespenders muss in würdigem Zustand zur Bestattung übergeben werden. Zuvor ist dem nächsten Angehörigen Gelegenheit zu geben, den Leichnam zu sehen.</w:t>
      </w:r>
    </w:p>
    <w:p>
      <w:r>
        <w:t xml:space="preserve">(3) Die Absätze 1 und 2 gelten entsprechend für tote Embryonen und Föten.</w:t>
      </w:r>
    </w:p>
    <w:p>
      <w:r>
        <w:rPr>
          <w:color w:val="555555"/>
          <w:sz w:val="17"/>
        </w:rPr>
        <w:t xml:space="preserve">Zitiervorschlag: § 6 TPG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https://recht.nulegal.eu/gesetze/TPG/6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